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E35" w14:textId="5DE3971B" w:rsidR="002E25FA" w:rsidRDefault="00E56BB1" w:rsidP="00E56BB1">
      <w:pPr>
        <w:pStyle w:val="Title"/>
      </w:pPr>
      <w:r>
        <w:t>The New Incentive to Convert to Worker Co-operatives</w:t>
      </w:r>
    </w:p>
    <w:p w14:paraId="11FFFAEF" w14:textId="14186FDF" w:rsidR="004167E5" w:rsidRDefault="00E56BB1" w:rsidP="00E56BB1">
      <w:r>
        <w:t xml:space="preserve">The Canadian government has recently </w:t>
      </w:r>
      <w:r w:rsidR="0093244E">
        <w:t>made</w:t>
      </w:r>
      <w:r w:rsidR="004F3B6B">
        <w:rPr>
          <w:rStyle w:val="FootnoteReference"/>
        </w:rPr>
        <w:footnoteReference w:id="1"/>
      </w:r>
      <w:r>
        <w:t xml:space="preserve"> amendments to the Income Tax Act</w:t>
      </w:r>
      <w:r w:rsidR="004167E5">
        <w:t xml:space="preserve"> (</w:t>
      </w:r>
      <w:r w:rsidR="004167E5">
        <w:rPr>
          <w:b/>
        </w:rPr>
        <w:t>ITA</w:t>
      </w:r>
      <w:r w:rsidR="004167E5">
        <w:t>)</w:t>
      </w:r>
      <w:r>
        <w:t xml:space="preserve"> t</w:t>
      </w:r>
      <w:r w:rsidR="004F3B6B">
        <w:t>o</w:t>
      </w:r>
      <w:r>
        <w:t xml:space="preserve"> exempt the first $10 million of a business owner’s capital gain</w:t>
      </w:r>
      <w:r w:rsidR="00F71580">
        <w:rPr>
          <w:rStyle w:val="FootnoteReference"/>
        </w:rPr>
        <w:footnoteReference w:id="2"/>
      </w:r>
      <w:r>
        <w:t xml:space="preserve"> from the sale of </w:t>
      </w:r>
      <w:r w:rsidR="00A302EC">
        <w:t>their</w:t>
      </w:r>
      <w:r>
        <w:t xml:space="preserve"> existing business to a worker co</w:t>
      </w:r>
      <w:r w:rsidRPr="00217C09">
        <w:noBreakHyphen/>
      </w:r>
      <w:r>
        <w:t xml:space="preserve">operative. </w:t>
      </w:r>
    </w:p>
    <w:p w14:paraId="4DB5A24B" w14:textId="1B547457" w:rsidR="00E56BB1" w:rsidRDefault="00E56BB1" w:rsidP="00E56BB1">
      <w:r>
        <w:t>Sales to Employee Ownership Trusts</w:t>
      </w:r>
      <w:r w:rsidR="00756E49">
        <w:rPr>
          <w:rStyle w:val="FootnoteReference"/>
        </w:rPr>
        <w:footnoteReference w:id="3"/>
      </w:r>
      <w:r>
        <w:t xml:space="preserve"> are entitled to the same exemption.</w:t>
      </w:r>
    </w:p>
    <w:p w14:paraId="23A5CE30" w14:textId="23FDC7E9" w:rsidR="0093244E" w:rsidRDefault="0093244E" w:rsidP="00E56BB1">
      <w:r>
        <w:t>This exemption does not replace the Lifetime Capital Gains Exemption of up to $1.25 million</w:t>
      </w:r>
      <w:r w:rsidR="00CA333E">
        <w:t>.</w:t>
      </w:r>
    </w:p>
    <w:p w14:paraId="2EB77B13" w14:textId="4EB80BDE" w:rsidR="004F3B6B" w:rsidRDefault="004F3B6B" w:rsidP="00E56BB1">
      <w:r>
        <w:t>This is a summary of those amendments.</w:t>
      </w:r>
      <w:r w:rsidR="00340869">
        <w:t xml:space="preserve"> The full te</w:t>
      </w:r>
      <w:r w:rsidR="00BB63F3">
        <w:t>x</w:t>
      </w:r>
      <w:r w:rsidR="00340869">
        <w:t xml:space="preserve">t of the amendments </w:t>
      </w:r>
      <w:r w:rsidR="00DE126D">
        <w:t>is set out in the Appendix, below.</w:t>
      </w:r>
    </w:p>
    <w:p w14:paraId="4E0FE4A8" w14:textId="43C0F86E" w:rsidR="000C7B7D" w:rsidRDefault="000C7B7D" w:rsidP="000C7B7D">
      <w:pPr>
        <w:pStyle w:val="Heading1"/>
      </w:pPr>
      <w:r>
        <w:t>The Exemption</w:t>
      </w:r>
    </w:p>
    <w:p w14:paraId="5EE3940E" w14:textId="77777777" w:rsidR="00A952FF" w:rsidRDefault="000C7B7D" w:rsidP="00E56BB1">
      <w:r>
        <w:t xml:space="preserve">The exemption is available </w:t>
      </w:r>
      <w:r w:rsidR="005635C2">
        <w:t xml:space="preserve">to </w:t>
      </w:r>
      <w:r w:rsidR="00032F0E">
        <w:t>owners of active businesses who</w:t>
      </w:r>
      <w:r>
        <w:t xml:space="preserve"> transfer ownership </w:t>
      </w:r>
      <w:r w:rsidR="004372A4">
        <w:t xml:space="preserve">of the business </w:t>
      </w:r>
      <w:r>
        <w:t xml:space="preserve">(a </w:t>
      </w:r>
      <w:r w:rsidRPr="000C7B7D">
        <w:rPr>
          <w:u w:val="single"/>
        </w:rPr>
        <w:t>qualifying co-operative conversion</w:t>
      </w:r>
      <w:r>
        <w:t xml:space="preserve">) to an </w:t>
      </w:r>
      <w:r w:rsidRPr="000C7B7D">
        <w:rPr>
          <w:u w:val="single"/>
        </w:rPr>
        <w:t>eligible worker co</w:t>
      </w:r>
      <w:r w:rsidRPr="000C7B7D">
        <w:rPr>
          <w:u w:val="single"/>
        </w:rPr>
        <w:noBreakHyphen/>
        <w:t>operative</w:t>
      </w:r>
      <w:r>
        <w:t xml:space="preserve"> whose members are </w:t>
      </w:r>
      <w:r w:rsidRPr="000C7B7D">
        <w:rPr>
          <w:u w:val="single"/>
        </w:rPr>
        <w:t>qualifying co</w:t>
      </w:r>
      <w:r w:rsidRPr="000C7B7D">
        <w:rPr>
          <w:u w:val="single"/>
        </w:rPr>
        <w:noBreakHyphen/>
        <w:t>operative workers</w:t>
      </w:r>
      <w:r>
        <w:t xml:space="preserve">. </w:t>
      </w:r>
    </w:p>
    <w:p w14:paraId="1AC7D964" w14:textId="243CCD23" w:rsidR="00A952FF" w:rsidRDefault="00A952FF" w:rsidP="00E56BB1">
      <w:r>
        <w:t xml:space="preserve">The assumption is that a worker </w:t>
      </w:r>
      <w:r w:rsidR="0095246B">
        <w:t>c</w:t>
      </w:r>
      <w:r>
        <w:t>o</w:t>
      </w:r>
      <w:r w:rsidRPr="00217C09">
        <w:noBreakHyphen/>
      </w:r>
      <w:r>
        <w:t>o</w:t>
      </w:r>
      <w:r w:rsidR="0095246B">
        <w:t>p</w:t>
      </w:r>
      <w:r>
        <w:t xml:space="preserve">erative would purchase the shares </w:t>
      </w:r>
      <w:r w:rsidR="0095246B">
        <w:t>of</w:t>
      </w:r>
      <w:r>
        <w:t xml:space="preserve"> that business</w:t>
      </w:r>
      <w:r w:rsidR="0095246B">
        <w:t xml:space="preserve"> and oper</w:t>
      </w:r>
      <w:r w:rsidR="00A84D7D">
        <w:t>a</w:t>
      </w:r>
      <w:r w:rsidR="0095246B">
        <w:t>te the business as a subsidiary of the co</w:t>
      </w:r>
      <w:r w:rsidR="0095246B" w:rsidRPr="00217C09">
        <w:noBreakHyphen/>
      </w:r>
      <w:r w:rsidR="0095246B">
        <w:t>operat</w:t>
      </w:r>
      <w:r w:rsidR="00A84D7D">
        <w:t>i</w:t>
      </w:r>
      <w:r w:rsidR="0095246B">
        <w:t>ve,</w:t>
      </w:r>
      <w:r w:rsidR="00A84D7D">
        <w:t xml:space="preserve"> </w:t>
      </w:r>
      <w:r w:rsidR="0095246B">
        <w:t xml:space="preserve">or amalgamate </w:t>
      </w:r>
      <w:r w:rsidR="00A84D7D">
        <w:t>with it.</w:t>
      </w:r>
      <w:r w:rsidR="00340869">
        <w:t xml:space="preserve"> That subsidiary would be a </w:t>
      </w:r>
      <w:r w:rsidR="00340869" w:rsidRPr="000C7B7D">
        <w:rPr>
          <w:u w:val="single"/>
        </w:rPr>
        <w:t>qualifying co-operative business</w:t>
      </w:r>
      <w:r w:rsidR="00340869">
        <w:t>.</w:t>
      </w:r>
    </w:p>
    <w:p w14:paraId="519C7E57" w14:textId="5BB3C635" w:rsidR="000C7B7D" w:rsidRDefault="000C7B7D" w:rsidP="00E56BB1">
      <w:r>
        <w:t>Each underlined term is defined below.</w:t>
      </w:r>
    </w:p>
    <w:p w14:paraId="1C8886F9" w14:textId="7EEF2C81" w:rsidR="00DC6AAA" w:rsidRDefault="00971340" w:rsidP="00DC6AAA">
      <w:pPr>
        <w:pStyle w:val="Heading1"/>
      </w:pPr>
      <w:r>
        <w:t>Conditions on Use of Exemption</w:t>
      </w:r>
    </w:p>
    <w:p w14:paraId="40D55BC5" w14:textId="3B1B2C8A" w:rsidR="00621BD0" w:rsidRDefault="00621BD0" w:rsidP="00E56BB1">
      <w:r>
        <w:t>The ITA sets certain</w:t>
      </w:r>
      <w:r w:rsidR="0069004A">
        <w:t xml:space="preserve"> </w:t>
      </w:r>
      <w:r>
        <w:t xml:space="preserve">conditions on the </w:t>
      </w:r>
      <w:r w:rsidR="0069004A">
        <w:t>use of this exemption</w:t>
      </w:r>
      <w:r w:rsidR="0069004A">
        <w:rPr>
          <w:rStyle w:val="FootnoteReference"/>
        </w:rPr>
        <w:footnoteReference w:id="4"/>
      </w:r>
      <w:r w:rsidR="0069004A">
        <w:t>:</w:t>
      </w:r>
    </w:p>
    <w:p w14:paraId="1FE5BDF9" w14:textId="1DE347E5" w:rsidR="00F46C10" w:rsidRDefault="000A6F7D" w:rsidP="000C0BE1">
      <w:pPr>
        <w:pStyle w:val="ListParagraph3CtrlAltE"/>
      </w:pPr>
      <w:r>
        <w:t>it cannot be used</w:t>
      </w:r>
      <w:r w:rsidR="005C2A76">
        <w:t xml:space="preserve"> </w:t>
      </w:r>
      <w:r w:rsidR="00F8147F">
        <w:t xml:space="preserve">if </w:t>
      </w:r>
      <w:r w:rsidR="005C2A76">
        <w:t>the</w:t>
      </w:r>
      <w:r w:rsidR="00F8147F">
        <w:t xml:space="preserve"> business owner has</w:t>
      </w:r>
      <w:r w:rsidR="005C2A76">
        <w:t xml:space="preserve"> </w:t>
      </w:r>
      <w:r w:rsidR="00F8147F">
        <w:t>previously access</w:t>
      </w:r>
      <w:r w:rsidR="005C2A76">
        <w:t>ed</w:t>
      </w:r>
      <w:r w:rsidR="00F8147F">
        <w:t xml:space="preserve"> the exemption </w:t>
      </w:r>
    </w:p>
    <w:p w14:paraId="3201212C" w14:textId="67A17D8C" w:rsidR="005C2A76" w:rsidRDefault="00D66CC5" w:rsidP="000C0BE1">
      <w:pPr>
        <w:pStyle w:val="ListParagraph3CtrlAltE"/>
      </w:pPr>
      <w:r>
        <w:t>the business owner has owned the business for at least 24 months</w:t>
      </w:r>
      <w:r w:rsidR="007E7C7E">
        <w:t xml:space="preserve"> and</w:t>
      </w:r>
      <w:r w:rsidR="00C45EDB">
        <w:t xml:space="preserve"> </w:t>
      </w:r>
      <w:r w:rsidR="00036036">
        <w:t xml:space="preserve">they, or </w:t>
      </w:r>
      <w:r w:rsidR="00F96B23">
        <w:t>related persons</w:t>
      </w:r>
      <w:r w:rsidR="00EC00B1">
        <w:rPr>
          <w:rStyle w:val="FootnoteReference"/>
        </w:rPr>
        <w:footnoteReference w:id="5"/>
      </w:r>
      <w:r w:rsidR="00036036">
        <w:t xml:space="preserve">, </w:t>
      </w:r>
      <w:r w:rsidR="00C45EDB">
        <w:t>ha</w:t>
      </w:r>
      <w:r w:rsidR="00EC00B1">
        <w:t>ve</w:t>
      </w:r>
      <w:r w:rsidR="00C45EDB">
        <w:t xml:space="preserve"> been actively engaged on a regular, continuous and substantial basis in the activities of the business</w:t>
      </w:r>
    </w:p>
    <w:p w14:paraId="156DC2C7" w14:textId="728356BD" w:rsidR="00654212" w:rsidRDefault="00654212" w:rsidP="000C0BE1">
      <w:pPr>
        <w:pStyle w:val="ListParagraph3CtrlAltE"/>
      </w:pPr>
      <w:r>
        <w:t>more than 50% of the fair market value of the</w:t>
      </w:r>
      <w:r w:rsidR="008B5FEE">
        <w:t xml:space="preserve"> shares to </w:t>
      </w:r>
      <w:r w:rsidR="00E22FB0">
        <w:t>be transferred</w:t>
      </w:r>
      <w:r w:rsidR="008B5FEE">
        <w:t xml:space="preserve"> to the worker cooperative was derived from assets used principally in an active business</w:t>
      </w:r>
    </w:p>
    <w:p w14:paraId="3EA02C40" w14:textId="3AD5E767" w:rsidR="00E22FB0" w:rsidRDefault="00456C72" w:rsidP="000C0BE1">
      <w:pPr>
        <w:pStyle w:val="ListParagraph3CtrlAltE"/>
      </w:pPr>
      <w:r>
        <w:t>the business</w:t>
      </w:r>
      <w:r w:rsidR="00053D27">
        <w:t xml:space="preserve"> does not carry on</w:t>
      </w:r>
      <w:r w:rsidR="00053D27" w:rsidRPr="00053D27">
        <w:rPr>
          <w:rFonts w:eastAsiaTheme="minorHAnsi" w:cstheme="minorBidi"/>
          <w:bCs w:val="0"/>
        </w:rPr>
        <w:t xml:space="preserve"> </w:t>
      </w:r>
      <w:r w:rsidR="00053D27" w:rsidRPr="00053D27">
        <w:t>the</w:t>
      </w:r>
      <w:r w:rsidR="00053D27">
        <w:t xml:space="preserve"> </w:t>
      </w:r>
      <w:r w:rsidR="00053D27" w:rsidRPr="00053D27">
        <w:t>professional practice of an accountant, dentist, lawyer, medical doctor, veterinarian or chiropractor</w:t>
      </w:r>
      <w:r w:rsidR="00483889">
        <w:t xml:space="preserve"> </w:t>
      </w:r>
    </w:p>
    <w:p w14:paraId="0A37DC4A" w14:textId="1C4737A2" w:rsidR="003D4D1F" w:rsidRDefault="00405184" w:rsidP="000C0BE1">
      <w:pPr>
        <w:pStyle w:val="ListParagraph3CtrlAltE"/>
      </w:pPr>
      <w:r>
        <w:t>the purchasing</w:t>
      </w:r>
      <w:r w:rsidR="000C0543">
        <w:t xml:space="preserve"> cooperative</w:t>
      </w:r>
      <w:r w:rsidR="006F5914">
        <w:t xml:space="preserve"> does not</w:t>
      </w:r>
      <w:r w:rsidR="002D617A">
        <w:t>, prior to this</w:t>
      </w:r>
      <w:r w:rsidR="007E7C7E">
        <w:t xml:space="preserve"> transaction employ </w:t>
      </w:r>
      <w:r w:rsidR="002D617A">
        <w:t>its members</w:t>
      </w:r>
    </w:p>
    <w:p w14:paraId="358E7DBC" w14:textId="53924C79" w:rsidR="007D0CB6" w:rsidRDefault="00DA2283" w:rsidP="000C0BE1">
      <w:pPr>
        <w:pStyle w:val="ListParagraph3CtrlAltE"/>
      </w:pPr>
      <w:r>
        <w:t>the purchaser corporation is a worker co</w:t>
      </w:r>
      <w:r w:rsidRPr="00217C09">
        <w:noBreakHyphen/>
      </w:r>
      <w:r>
        <w:t xml:space="preserve">operative </w:t>
      </w:r>
      <w:r w:rsidR="00945C5A">
        <w:t>(defined below) and at least 75%</w:t>
      </w:r>
      <w:r w:rsidR="00297A2B">
        <w:t xml:space="preserve"> of its qualifying</w:t>
      </w:r>
      <w:r w:rsidR="007E249C">
        <w:t xml:space="preserve"> co</w:t>
      </w:r>
      <w:r w:rsidR="00297A2B">
        <w:t>-operative workers are resident in Canada</w:t>
      </w:r>
    </w:p>
    <w:p w14:paraId="581CA5B0" w14:textId="12BCBB9C" w:rsidR="00C4114B" w:rsidRDefault="00C4114B" w:rsidP="000C0BE1">
      <w:pPr>
        <w:pStyle w:val="ListParagraph3CtrlAltE"/>
      </w:pPr>
      <w:r>
        <w:lastRenderedPageBreak/>
        <w:t>the</w:t>
      </w:r>
      <w:r w:rsidR="00473A58">
        <w:t xml:space="preserve"> purchasing worker cooperative, and the individual claiming the exemption</w:t>
      </w:r>
      <w:r w:rsidR="00F9182D">
        <w:t xml:space="preserve"> jointly </w:t>
      </w:r>
      <w:r w:rsidR="00473A58">
        <w:t>elect</w:t>
      </w:r>
      <w:r w:rsidR="007B01A1">
        <w:t xml:space="preserve"> for the exemption to</w:t>
      </w:r>
      <w:r w:rsidR="00F9182D">
        <w:t xml:space="preserve"> apply, and</w:t>
      </w:r>
      <w:r w:rsidR="00E87C84">
        <w:t xml:space="preserve"> file </w:t>
      </w:r>
      <w:r w:rsidR="00F9182D">
        <w:t>that election</w:t>
      </w:r>
      <w:r w:rsidR="001F084A">
        <w:t xml:space="preserve"> before their income tax filing-due date</w:t>
      </w:r>
    </w:p>
    <w:p w14:paraId="0367D888" w14:textId="5FD11497" w:rsidR="00D71061" w:rsidRDefault="006541F3" w:rsidP="00A302EC">
      <w:pPr>
        <w:pStyle w:val="Heading1"/>
      </w:pPr>
      <w:r>
        <w:t xml:space="preserve">Deferral Period </w:t>
      </w:r>
      <w:r w:rsidR="00C32B9E">
        <w:t>Ex</w:t>
      </w:r>
      <w:r>
        <w:t>tended</w:t>
      </w:r>
    </w:p>
    <w:p w14:paraId="423B147C" w14:textId="210C3A6D" w:rsidR="00C32B9E" w:rsidRPr="00C32B9E" w:rsidRDefault="00695EE3" w:rsidP="00C32B9E">
      <w:pPr>
        <w:pStyle w:val="Normal2CtrlAltM"/>
      </w:pPr>
      <w:r>
        <w:t xml:space="preserve">Selling business owners may defer </w:t>
      </w:r>
      <w:r w:rsidR="00C07F85">
        <w:t xml:space="preserve">recognition of the capital gain until the year they receive proceeds </w:t>
      </w:r>
      <w:r w:rsidR="00BA63E6">
        <w:t xml:space="preserve">and need to include </w:t>
      </w:r>
      <w:r w:rsidR="00DF17EB">
        <w:t xml:space="preserve">up to a maximum of </w:t>
      </w:r>
      <w:r>
        <w:t xml:space="preserve">20% </w:t>
      </w:r>
      <w:r w:rsidR="00DF17EB">
        <w:t>each year</w:t>
      </w:r>
      <w:r w:rsidR="00694A14">
        <w:t>, creating a maximum five-year deferral period</w:t>
      </w:r>
      <w:r w:rsidR="00DF17EB">
        <w:t>. For</w:t>
      </w:r>
      <w:r w:rsidR="00B921B2">
        <w:t xml:space="preserve"> a qualifying co-operative conversion,</w:t>
      </w:r>
      <w:r w:rsidR="00694A14">
        <w:t xml:space="preserve"> that maximum is reduced to</w:t>
      </w:r>
      <w:r w:rsidR="004C60F5">
        <w:t xml:space="preserve"> 10%, creating a maximum 10-year deferral period</w:t>
      </w:r>
      <w:r w:rsidR="004C60F5">
        <w:rPr>
          <w:rStyle w:val="FootnoteReference"/>
        </w:rPr>
        <w:footnoteReference w:id="6"/>
      </w:r>
      <w:r w:rsidR="004C60F5">
        <w:t>.</w:t>
      </w:r>
    </w:p>
    <w:p w14:paraId="6066210C" w14:textId="000B5C7C" w:rsidR="00A302EC" w:rsidRPr="00E56BB1" w:rsidRDefault="00A302EC" w:rsidP="00A302EC">
      <w:pPr>
        <w:pStyle w:val="Heading1"/>
      </w:pPr>
      <w:r>
        <w:t>What is  a Qualifying  Co-operative Conversion</w:t>
      </w:r>
    </w:p>
    <w:p w14:paraId="490EB8C7" w14:textId="4189664A" w:rsidR="00A302EC" w:rsidRDefault="00A302EC" w:rsidP="00A302EC">
      <w:pPr>
        <w:pStyle w:val="Normal2CtrlAltM"/>
      </w:pPr>
      <w:r>
        <w:t xml:space="preserve"> A qualifying co-operative conversion</w:t>
      </w:r>
      <w:r w:rsidR="00B92965">
        <w:rPr>
          <w:rStyle w:val="FootnoteReference"/>
        </w:rPr>
        <w:footnoteReference w:id="7"/>
      </w:r>
      <w:r>
        <w:t xml:space="preserve"> is a disposition by a business owner of shares in the business to a worker co</w:t>
      </w:r>
      <w:r w:rsidRPr="00217C09">
        <w:noBreakHyphen/>
      </w:r>
      <w:r>
        <w:t>operative if</w:t>
      </w:r>
    </w:p>
    <w:p w14:paraId="54D387F4" w14:textId="77777777" w:rsidR="00A302EC" w:rsidRDefault="00A302EC" w:rsidP="00A302EC">
      <w:pPr>
        <w:pStyle w:val="ListParagraph3CtrlAltE"/>
      </w:pPr>
      <w:r>
        <w:t>all or substantially all of the fair market value of assets of the business are used principally in an active business (as defined in the ITA)</w:t>
      </w:r>
    </w:p>
    <w:p w14:paraId="5213776D" w14:textId="77777777" w:rsidR="00A302EC" w:rsidRDefault="00A302EC" w:rsidP="00A302EC">
      <w:pPr>
        <w:pStyle w:val="ListParagraph3CtrlAltE"/>
      </w:pPr>
      <w:r>
        <w:t>the business owner deals at arm’s length with the co</w:t>
      </w:r>
      <w:r w:rsidRPr="00217C09">
        <w:noBreakHyphen/>
      </w:r>
      <w:r>
        <w:t>operative at the time of disposition and at all times thereafter</w:t>
      </w:r>
    </w:p>
    <w:p w14:paraId="4FD97DFE" w14:textId="77777777" w:rsidR="00A302EC" w:rsidRDefault="00A302EC" w:rsidP="00A302EC">
      <w:pPr>
        <w:pStyle w:val="ListParagraph3CtrlAltE"/>
      </w:pPr>
      <w:r>
        <w:t>a worker co-operative acquires control of the business</w:t>
      </w:r>
    </w:p>
    <w:p w14:paraId="65C35A9A" w14:textId="77777777" w:rsidR="00A302EC" w:rsidRDefault="00A302EC" w:rsidP="00A302EC">
      <w:pPr>
        <w:pStyle w:val="ListParagraph3CtrlAltE"/>
      </w:pPr>
      <w:r>
        <w:t>the business owner does not retain any right or influence that would allow the business owner to exercise control of the business.</w:t>
      </w:r>
    </w:p>
    <w:p w14:paraId="1277C447" w14:textId="77777777" w:rsidR="00A302EC" w:rsidRDefault="00A302EC" w:rsidP="00A302EC">
      <w:pPr>
        <w:pStyle w:val="ListParagraph3CtrlAltE"/>
        <w:numPr>
          <w:ilvl w:val="0"/>
          <w:numId w:val="0"/>
        </w:numPr>
        <w:ind w:left="720"/>
      </w:pPr>
      <w:r>
        <w:t>Normally, the co</w:t>
      </w:r>
      <w:r w:rsidRPr="00217C09">
        <w:noBreakHyphen/>
      </w:r>
      <w:r>
        <w:t>operative would acquire the shares of the business corporation, and may choose to continue to operate the business as it subsidiary, or to amalgamate the business corporation with a co-operative.</w:t>
      </w:r>
    </w:p>
    <w:p w14:paraId="1A252BB3" w14:textId="575BE6DD" w:rsidR="00E56BB1" w:rsidRDefault="00756E49" w:rsidP="00E56BB1">
      <w:pPr>
        <w:pStyle w:val="Heading1"/>
      </w:pPr>
      <w:r>
        <w:t xml:space="preserve">What is an </w:t>
      </w:r>
      <w:r w:rsidR="004242B4">
        <w:t>e</w:t>
      </w:r>
      <w:r>
        <w:t xml:space="preserve">ligible </w:t>
      </w:r>
      <w:r w:rsidR="00E56BB1">
        <w:t>Worker Co</w:t>
      </w:r>
      <w:r w:rsidR="00E56BB1" w:rsidRPr="00217C09">
        <w:noBreakHyphen/>
      </w:r>
      <w:r w:rsidR="00E56BB1">
        <w:t>operative</w:t>
      </w:r>
      <w:r w:rsidR="004242B4">
        <w:rPr>
          <w:rStyle w:val="FootnoteReference"/>
        </w:rPr>
        <w:footnoteReference w:id="8"/>
      </w:r>
      <w:r w:rsidR="00E56BB1">
        <w:t>?</w:t>
      </w:r>
    </w:p>
    <w:p w14:paraId="1E6FE31F" w14:textId="41BB5F4F" w:rsidR="00E56BB1" w:rsidRDefault="00E56BB1" w:rsidP="00E56BB1">
      <w:pPr>
        <w:pStyle w:val="Normal2CtrlAltM"/>
      </w:pPr>
      <w:r>
        <w:t>For the purposes of the exemption, it</w:t>
      </w:r>
      <w:r w:rsidR="001E658E">
        <w:t xml:space="preserve"> must:</w:t>
      </w:r>
    </w:p>
    <w:p w14:paraId="07C30F08" w14:textId="1E3AE6B4" w:rsidR="00E56BB1" w:rsidRDefault="001E658E" w:rsidP="001E658E">
      <w:pPr>
        <w:pStyle w:val="ListParagraph3CtrlAltE"/>
      </w:pPr>
      <w:r>
        <w:t xml:space="preserve">be </w:t>
      </w:r>
      <w:r w:rsidR="00756E49">
        <w:t>r</w:t>
      </w:r>
      <w:r>
        <w:t>esident in Canada</w:t>
      </w:r>
    </w:p>
    <w:p w14:paraId="401EE195" w14:textId="73561B19" w:rsidR="001E658E" w:rsidRDefault="001E658E" w:rsidP="001E658E">
      <w:pPr>
        <w:pStyle w:val="ListParagraph3CtrlAltE"/>
      </w:pPr>
      <w:r>
        <w:t>be incorporated under federal or provincial legislation that provides for the establishment of co-operative corporations</w:t>
      </w:r>
    </w:p>
    <w:p w14:paraId="24994CA3" w14:textId="32DD6F29" w:rsidR="001E658E" w:rsidRDefault="001E658E" w:rsidP="001E658E">
      <w:pPr>
        <w:pStyle w:val="ListParagraph3CtrlAltE"/>
      </w:pPr>
      <w:r>
        <w:t>be established for the purpose of providing employment to its members</w:t>
      </w:r>
    </w:p>
    <w:p w14:paraId="544295F4" w14:textId="41F13C33" w:rsidR="004167E5" w:rsidRDefault="004167E5" w:rsidP="001E658E">
      <w:pPr>
        <w:pStyle w:val="ListParagraph3CtrlAltE"/>
      </w:pPr>
      <w:r>
        <w:t xml:space="preserve">be controlled (as that term is defined in the ITA) by the members of the co-operative </w:t>
      </w:r>
    </w:p>
    <w:p w14:paraId="5736CAFC" w14:textId="60F92918" w:rsidR="001E658E" w:rsidRDefault="001E658E" w:rsidP="001E658E">
      <w:pPr>
        <w:pStyle w:val="ListParagraph3CtrlAltE"/>
      </w:pPr>
      <w:r>
        <w:t>have at least 75% of its employees (other than employees who have not completed an applicable probationary period which may not exceed 12 months) hold</w:t>
      </w:r>
      <w:r w:rsidR="004167E5">
        <w:t>ing</w:t>
      </w:r>
      <w:r>
        <w:t xml:space="preserve"> a membership share in the co-operative</w:t>
      </w:r>
    </w:p>
    <w:p w14:paraId="7C9D8799" w14:textId="349B854D" w:rsidR="001E658E" w:rsidRDefault="001E658E" w:rsidP="001E658E">
      <w:pPr>
        <w:pStyle w:val="ListParagraph3CtrlAltE"/>
      </w:pPr>
      <w:r>
        <w:t xml:space="preserve">issue its </w:t>
      </w:r>
      <w:r w:rsidR="004167E5">
        <w:t xml:space="preserve">initial </w:t>
      </w:r>
      <w:r>
        <w:t>membership share</w:t>
      </w:r>
      <w:r w:rsidR="004167E5">
        <w:t>s</w:t>
      </w:r>
      <w:r>
        <w:t xml:space="preserve"> for a nominal amount determined in the same manner for all members</w:t>
      </w:r>
    </w:p>
    <w:p w14:paraId="41B5DB98" w14:textId="3E09D229" w:rsidR="001E658E" w:rsidRDefault="001E658E" w:rsidP="001E658E">
      <w:pPr>
        <w:pStyle w:val="ListParagraph3CtrlAltE"/>
      </w:pPr>
      <w:r>
        <w:lastRenderedPageBreak/>
        <w:t xml:space="preserve">offer </w:t>
      </w:r>
      <w:r w:rsidR="00404601">
        <w:t xml:space="preserve">that initial </w:t>
      </w:r>
      <w:r>
        <w:t>membership share to each employee completing and applicable probationary period, not to exceed 12 months</w:t>
      </w:r>
    </w:p>
    <w:p w14:paraId="4E27D005" w14:textId="69A0D824" w:rsidR="001E658E" w:rsidRDefault="001E658E" w:rsidP="001E658E">
      <w:pPr>
        <w:pStyle w:val="ListParagraph3CtrlAltE"/>
      </w:pPr>
      <w:r>
        <w:t xml:space="preserve">have at least one-third of its directors who are </w:t>
      </w:r>
      <w:r w:rsidR="00404601" w:rsidRPr="00404601">
        <w:rPr>
          <w:i/>
          <w:iCs/>
        </w:rPr>
        <w:t>qualifying cooperative workers</w:t>
      </w:r>
      <w:r>
        <w:t xml:space="preserve"> (</w:t>
      </w:r>
      <w:r w:rsidR="00404601">
        <w:t>see below)</w:t>
      </w:r>
    </w:p>
    <w:p w14:paraId="4AAE5732" w14:textId="3D3E1291" w:rsidR="001E658E" w:rsidRDefault="001E658E" w:rsidP="001E658E">
      <w:pPr>
        <w:pStyle w:val="ListParagraph3CtrlAltE"/>
      </w:pPr>
      <w:r>
        <w:t>not have more than 40% of its directors who were owners of 50% or more of the standing shares or debt of the acquired business</w:t>
      </w:r>
    </w:p>
    <w:p w14:paraId="027EF692" w14:textId="77777777" w:rsidR="00404601" w:rsidRDefault="001E658E" w:rsidP="001E658E">
      <w:pPr>
        <w:pStyle w:val="ListParagraph3CtrlAltE"/>
      </w:pPr>
      <w:r>
        <w:t xml:space="preserve">provide in its bylaws a procedure for allocating, crediting or distributing the surplus earnings of the co-operative that include a requirement not less than 50% of those earnings be paid in proportion to either </w:t>
      </w:r>
    </w:p>
    <w:p w14:paraId="5ADA899C" w14:textId="77777777" w:rsidR="00404601" w:rsidRPr="00404601" w:rsidRDefault="001E658E" w:rsidP="00404601">
      <w:pPr>
        <w:pStyle w:val="Heading4"/>
        <w:rPr>
          <w:b w:val="0"/>
          <w:bCs w:val="0"/>
        </w:rPr>
      </w:pPr>
      <w:r w:rsidRPr="00404601">
        <w:rPr>
          <w:b w:val="0"/>
          <w:bCs w:val="0"/>
        </w:rPr>
        <w:t xml:space="preserve">the employment income earned by the members or </w:t>
      </w:r>
    </w:p>
    <w:p w14:paraId="40D94103" w14:textId="5CB9B17A" w:rsidR="001E658E" w:rsidRPr="00404601" w:rsidRDefault="001E658E" w:rsidP="00404601">
      <w:pPr>
        <w:pStyle w:val="Heading4"/>
        <w:rPr>
          <w:b w:val="0"/>
          <w:bCs w:val="0"/>
        </w:rPr>
      </w:pPr>
      <w:r w:rsidRPr="00404601">
        <w:rPr>
          <w:b w:val="0"/>
          <w:bCs w:val="0"/>
        </w:rPr>
        <w:t>the labour contributed</w:t>
      </w:r>
      <w:r w:rsidR="00756E49" w:rsidRPr="00404601">
        <w:rPr>
          <w:b w:val="0"/>
          <w:bCs w:val="0"/>
        </w:rPr>
        <w:t xml:space="preserve">. </w:t>
      </w:r>
    </w:p>
    <w:p w14:paraId="7FF68250" w14:textId="5E7BA1C8" w:rsidR="00404601" w:rsidRDefault="00404601" w:rsidP="00756E49">
      <w:pPr>
        <w:pStyle w:val="Heading1"/>
        <w:rPr>
          <w:u w:val="none"/>
        </w:rPr>
      </w:pPr>
      <w:r>
        <w:t>Who is a  “Qualifying Co-operative Worker</w:t>
      </w:r>
      <w:r w:rsidRPr="00404601">
        <w:rPr>
          <w:u w:val="none"/>
        </w:rPr>
        <w:t>”</w:t>
      </w:r>
    </w:p>
    <w:p w14:paraId="6C07476E" w14:textId="3BC94992" w:rsidR="00404601" w:rsidRDefault="00404601" w:rsidP="00404601">
      <w:pPr>
        <w:pStyle w:val="Normal2CtrlAltM"/>
      </w:pPr>
      <w:r>
        <w:t>A qualifying co-operative worker is defined</w:t>
      </w:r>
      <w:r w:rsidR="004242B4">
        <w:rPr>
          <w:rStyle w:val="FootnoteReference"/>
        </w:rPr>
        <w:footnoteReference w:id="9"/>
      </w:r>
      <w:r>
        <w:t xml:space="preserve"> as an individual who</w:t>
      </w:r>
    </w:p>
    <w:p w14:paraId="1CCA3F05" w14:textId="58E926E6" w:rsidR="00404601" w:rsidRDefault="00404601" w:rsidP="00404601">
      <w:pPr>
        <w:pStyle w:val="ListParagraph3CtrlAltE"/>
      </w:pPr>
      <w:r>
        <w:t>holds a membership share in a co-operative</w:t>
      </w:r>
    </w:p>
    <w:p w14:paraId="4A78027C" w14:textId="4C19D749" w:rsidR="00404601" w:rsidRDefault="00404601" w:rsidP="00404601">
      <w:pPr>
        <w:pStyle w:val="ListParagraph3CtrlAltE"/>
      </w:pPr>
      <w:r>
        <w:t>is employed by it</w:t>
      </w:r>
    </w:p>
    <w:p w14:paraId="5CAA4A01" w14:textId="11CAFDC4" w:rsidR="00404601" w:rsidRDefault="00D97763" w:rsidP="00404601">
      <w:pPr>
        <w:pStyle w:val="ListParagraph3CtrlAltE"/>
      </w:pPr>
      <w:r>
        <w:t>with any person related to or affiliated with that individual, does not represent more than 50% of the members</w:t>
      </w:r>
    </w:p>
    <w:p w14:paraId="5CD92F03" w14:textId="7B9A8058" w:rsidR="00D97763" w:rsidRDefault="00D97763" w:rsidP="00404601">
      <w:pPr>
        <w:pStyle w:val="ListParagraph3CtrlAltE"/>
      </w:pPr>
      <w:r>
        <w:t xml:space="preserve">did not own more than 50% of the fair market value </w:t>
      </w:r>
      <w:r w:rsidR="007004C3">
        <w:t xml:space="preserve">of the </w:t>
      </w:r>
      <w:r>
        <w:t>shares and debt</w:t>
      </w:r>
      <w:r w:rsidR="007004C3">
        <w:t xml:space="preserve"> of the business acquired</w:t>
      </w:r>
      <w:r w:rsidR="00A302EC">
        <w:t xml:space="preserve"> – the previous owner is excluded from membership</w:t>
      </w:r>
    </w:p>
    <w:p w14:paraId="1B13E377" w14:textId="776450C0" w:rsidR="007004C3" w:rsidRDefault="007004C3" w:rsidP="00404601">
      <w:pPr>
        <w:pStyle w:val="ListParagraph3CtrlAltE"/>
      </w:pPr>
      <w:r>
        <w:t>did not claim the capital gains tax exemption available to the selling business owner</w:t>
      </w:r>
      <w:r w:rsidR="00A302EC">
        <w:t>; in other words, the previous owner cannot be a member.</w:t>
      </w:r>
    </w:p>
    <w:p w14:paraId="206DAF0A" w14:textId="66C2B022" w:rsidR="00121021" w:rsidRDefault="00121021" w:rsidP="00121021">
      <w:pPr>
        <w:pStyle w:val="Heading1"/>
      </w:pPr>
      <w:r>
        <w:t>What is a Qualifying Co-operative Business</w:t>
      </w:r>
      <w:r w:rsidR="004242B4">
        <w:rPr>
          <w:rStyle w:val="FootnoteReference"/>
        </w:rPr>
        <w:footnoteReference w:id="10"/>
      </w:r>
      <w:r>
        <w:t>?</w:t>
      </w:r>
    </w:p>
    <w:p w14:paraId="2AE0E2F5" w14:textId="77777777" w:rsidR="00121021" w:rsidRDefault="00121021" w:rsidP="00121021">
      <w:pPr>
        <w:pStyle w:val="Normal2CtrlAltM"/>
      </w:pPr>
      <w:r>
        <w:t>It is a corporation controlled by a worker co-operative</w:t>
      </w:r>
    </w:p>
    <w:p w14:paraId="106FA00E" w14:textId="77777777" w:rsidR="00121021" w:rsidRDefault="00121021" w:rsidP="00121021">
      <w:pPr>
        <w:pStyle w:val="ListParagraph3CtrlAltE"/>
      </w:pPr>
      <w:r>
        <w:t>that is a Canadian -controlled private corporation</w:t>
      </w:r>
    </w:p>
    <w:p w14:paraId="255C04C4" w14:textId="2F8BE0D6" w:rsidR="00121021" w:rsidRDefault="00121021" w:rsidP="00121021">
      <w:pPr>
        <w:pStyle w:val="ListParagraph3CtrlAltE"/>
      </w:pPr>
      <w:r>
        <w:t xml:space="preserve">not more than 40% of the directors consists of individuals who before the conversion owned, with others, 50% </w:t>
      </w:r>
      <w:r w:rsidR="00747088" w:rsidRPr="00F87788">
        <w:t xml:space="preserve">or more of the fair market value of the shares or indebtedness of the </w:t>
      </w:r>
      <w:r w:rsidR="00747088">
        <w:t>business</w:t>
      </w:r>
    </w:p>
    <w:p w14:paraId="562F9836" w14:textId="316E128D" w:rsidR="00121021" w:rsidRDefault="00121021" w:rsidP="00121021">
      <w:pPr>
        <w:pStyle w:val="ListParagraph3CtrlAltE"/>
      </w:pPr>
      <w:r>
        <w:t xml:space="preserve">that deals at arm’s length and not affiliated with, any person who, with others, owned 50% </w:t>
      </w:r>
      <w:r w:rsidRPr="00F87788">
        <w:t xml:space="preserve">or more of the fair market value of the shares or indebtedness of the </w:t>
      </w:r>
      <w:r>
        <w:t>business immediately before control was acquired by the worker co-operative</w:t>
      </w:r>
    </w:p>
    <w:p w14:paraId="4B14BC3A" w14:textId="582DCC0D" w:rsidR="001D5BCB" w:rsidRDefault="00781C22" w:rsidP="001D5BCB">
      <w:pPr>
        <w:pStyle w:val="Heading1"/>
      </w:pPr>
      <w:r>
        <w:t>Disqualifying Event</w:t>
      </w:r>
    </w:p>
    <w:p w14:paraId="0CC8455D" w14:textId="1CE9F4C1" w:rsidR="00781C22" w:rsidRDefault="00F907F6" w:rsidP="00781C22">
      <w:pPr>
        <w:pStyle w:val="Normal2CtrlAltM"/>
      </w:pPr>
      <w:r>
        <w:t>A</w:t>
      </w:r>
      <w:r w:rsidR="007D2939">
        <w:t xml:space="preserve"> disqualifying event</w:t>
      </w:r>
      <w:r w:rsidR="003821F0">
        <w:rPr>
          <w:rStyle w:val="FootnoteReference"/>
        </w:rPr>
        <w:footnoteReference w:id="11"/>
      </w:r>
      <w:r w:rsidR="007D2939">
        <w:t xml:space="preserve"> occurs when</w:t>
      </w:r>
      <w:r>
        <w:t>, after acquiring the business’ shares, the worker co</w:t>
      </w:r>
      <w:r w:rsidRPr="00217C09">
        <w:noBreakHyphen/>
      </w:r>
      <w:r>
        <w:t>operative ceases to be a worker co</w:t>
      </w:r>
      <w:r w:rsidRPr="00217C09">
        <w:noBreakHyphen/>
      </w:r>
      <w:r>
        <w:t>operative</w:t>
      </w:r>
      <w:r w:rsidR="006008D0">
        <w:t>, or</w:t>
      </w:r>
      <w:r w:rsidR="009A7333">
        <w:t xml:space="preserve"> less than 50% of the fair market value of</w:t>
      </w:r>
      <w:r w:rsidR="00E523FD">
        <w:t xml:space="preserve"> the worker co-operative’s shares</w:t>
      </w:r>
      <w:r w:rsidR="00BD7902">
        <w:t xml:space="preserve"> is derived from </w:t>
      </w:r>
      <w:r w:rsidR="007F3E86">
        <w:t>an</w:t>
      </w:r>
      <w:r w:rsidR="00BD7902">
        <w:t xml:space="preserve"> active business</w:t>
      </w:r>
      <w:r w:rsidR="002419BA">
        <w:t>, unless its active business has ceased due to the sale of its assets to satisfy</w:t>
      </w:r>
      <w:r w:rsidR="00F76D33">
        <w:t xml:space="preserve"> debts owed to creditors.</w:t>
      </w:r>
    </w:p>
    <w:p w14:paraId="08A6402C" w14:textId="24EA5598" w:rsidR="00D92558" w:rsidRDefault="00D92558" w:rsidP="00781C22">
      <w:pPr>
        <w:pStyle w:val="Normal2CtrlAltM"/>
      </w:pPr>
      <w:r>
        <w:lastRenderedPageBreak/>
        <w:t>What are the consequences of a disqualifying event?</w:t>
      </w:r>
    </w:p>
    <w:p w14:paraId="2490DA11" w14:textId="71F57E36" w:rsidR="00D92558" w:rsidRDefault="00973EFF" w:rsidP="00781C22">
      <w:pPr>
        <w:pStyle w:val="Normal2CtrlAltM"/>
      </w:pPr>
      <w:r>
        <w:t>If it occurs within 24 months of the acquisition, the exemption is deemed to have never applied</w:t>
      </w:r>
      <w:r w:rsidR="00633A24">
        <w:t>. In other words, the selling business owner</w:t>
      </w:r>
      <w:r w:rsidR="005448AA">
        <w:t xml:space="preserve"> would be assessed for</w:t>
      </w:r>
      <w:r w:rsidR="005F4974">
        <w:t xml:space="preserve"> income taxes payable on the revoked exemption.</w:t>
      </w:r>
      <w:r w:rsidR="000C01FD">
        <w:t xml:space="preserve"> The selling business owner has a strong incentive to ensure the worker co</w:t>
      </w:r>
      <w:r w:rsidR="000C01FD" w:rsidRPr="00217C09">
        <w:noBreakHyphen/>
      </w:r>
      <w:r w:rsidR="000C01FD">
        <w:t xml:space="preserve">operative </w:t>
      </w:r>
      <w:r w:rsidR="007243FF">
        <w:t>continues in business</w:t>
      </w:r>
      <w:r w:rsidR="006E05FE">
        <w:t xml:space="preserve"> for those 24 months</w:t>
      </w:r>
      <w:r w:rsidR="007243FF">
        <w:t>.</w:t>
      </w:r>
    </w:p>
    <w:p w14:paraId="64412FCF" w14:textId="32B57E01" w:rsidR="003C5789" w:rsidRDefault="003C5789" w:rsidP="00781C22">
      <w:pPr>
        <w:pStyle w:val="Normal2CtrlAltM"/>
      </w:pPr>
      <w:r>
        <w:t xml:space="preserve">If it occurs </w:t>
      </w:r>
      <w:r w:rsidR="00EA060B">
        <w:t xml:space="preserve">in the eight years </w:t>
      </w:r>
      <w:r>
        <w:t xml:space="preserve">after those 24 months, </w:t>
      </w:r>
      <w:r w:rsidR="007278FD">
        <w:t xml:space="preserve">the worker co-operative’s taxable </w:t>
      </w:r>
      <w:r w:rsidR="003A4AB3">
        <w:t xml:space="preserve">capital </w:t>
      </w:r>
      <w:r w:rsidR="00561A46">
        <w:t>gai</w:t>
      </w:r>
      <w:r w:rsidR="003A4AB3">
        <w:t>n</w:t>
      </w:r>
      <w:r w:rsidR="007278FD">
        <w:t xml:space="preserve"> is increased</w:t>
      </w:r>
      <w:r w:rsidR="003D1E4B">
        <w:t xml:space="preserve"> by the </w:t>
      </w:r>
      <w:r w:rsidR="00634320">
        <w:t>amount of the exemption claimed</w:t>
      </w:r>
      <w:r w:rsidR="00A53286">
        <w:t>.</w:t>
      </w:r>
      <w:r w:rsidR="00F078BF">
        <w:t xml:space="preserve"> </w:t>
      </w:r>
    </w:p>
    <w:p w14:paraId="4E0A7575" w14:textId="77777777" w:rsidR="001106FD" w:rsidRDefault="006C3876" w:rsidP="00781C22">
      <w:pPr>
        <w:pStyle w:val="Normal2CtrlAltM"/>
      </w:pPr>
      <w:r>
        <w:t>If the worke</w:t>
      </w:r>
      <w:r w:rsidR="00212A5F">
        <w:t xml:space="preserve">r </w:t>
      </w:r>
      <w:r w:rsidR="00FF3AD3">
        <w:t xml:space="preserve">co-operative is </w:t>
      </w:r>
      <w:r>
        <w:t xml:space="preserve">obliged to pay that </w:t>
      </w:r>
      <w:r w:rsidR="00212A5F">
        <w:t>tax,  does CRA look to the shareholders or its di</w:t>
      </w:r>
      <w:r w:rsidR="00FF3AD3">
        <w:t>r</w:t>
      </w:r>
      <w:r w:rsidR="00212A5F">
        <w:t>ectors or officers, to pay, if the co</w:t>
      </w:r>
      <w:r w:rsidR="00212A5F" w:rsidRPr="00217C09">
        <w:noBreakHyphen/>
      </w:r>
      <w:r w:rsidR="00212A5F">
        <w:t>operative does not?</w:t>
      </w:r>
      <w:r w:rsidR="00FF73BC">
        <w:t xml:space="preserve"> </w:t>
      </w:r>
    </w:p>
    <w:p w14:paraId="0AAA5306" w14:textId="391AA3CB" w:rsidR="006C3876" w:rsidRDefault="006446D2" w:rsidP="00781C22">
      <w:pPr>
        <w:pStyle w:val="Normal2CtrlAltM"/>
      </w:pPr>
      <w:r>
        <w:t xml:space="preserve">No – </w:t>
      </w:r>
      <w:r w:rsidR="0084148E">
        <w:t xml:space="preserve">unlike </w:t>
      </w:r>
      <w:r w:rsidR="00E5706F">
        <w:t xml:space="preserve">HST or employee remittances, </w:t>
      </w:r>
      <w:r>
        <w:t>personal</w:t>
      </w:r>
      <w:r w:rsidR="005705A2">
        <w:t xml:space="preserve"> liability</w:t>
      </w:r>
      <w:r>
        <w:t xml:space="preserve"> does not extend to liability for the Corporation’s regular </w:t>
      </w:r>
      <w:r w:rsidR="005705A2">
        <w:t xml:space="preserve">corporate income taxes. </w:t>
      </w:r>
    </w:p>
    <w:p w14:paraId="45CDA4E5" w14:textId="12EB849B" w:rsidR="00EA114B" w:rsidRPr="00781C22" w:rsidRDefault="00B12E82" w:rsidP="00EA114B">
      <w:pPr>
        <w:pStyle w:val="Heading1"/>
      </w:pPr>
      <w:r>
        <w:t>Anti-avoidance</w:t>
      </w:r>
      <w:r w:rsidR="00177CF1">
        <w:t xml:space="preserve"> and Other Constraints</w:t>
      </w:r>
      <w:r w:rsidR="00D1460F">
        <w:t xml:space="preserve"> on Use of this Exemption</w:t>
      </w:r>
    </w:p>
    <w:p w14:paraId="59C8E275" w14:textId="241801FE" w:rsidR="00121021" w:rsidRDefault="00DA3325" w:rsidP="00DA3325">
      <w:pPr>
        <w:pStyle w:val="Normal2CtrlAltM"/>
      </w:pPr>
      <w:r>
        <w:t>There is a provision</w:t>
      </w:r>
      <w:r w:rsidR="00F27841">
        <w:rPr>
          <w:rStyle w:val="FootnoteReference"/>
        </w:rPr>
        <w:footnoteReference w:id="12"/>
      </w:r>
      <w:r>
        <w:t xml:space="preserve"> that attempts to prevent the use of this new exemption</w:t>
      </w:r>
      <w:r w:rsidR="005B4399">
        <w:t xml:space="preserve"> for improper purposes.</w:t>
      </w:r>
      <w:r w:rsidR="00F27841">
        <w:t xml:space="preserve"> A legitimate acquisition of an active business by a worker co-operative would not run afoul of this provision</w:t>
      </w:r>
      <w:r w:rsidR="00B83828">
        <w:t>.</w:t>
      </w:r>
    </w:p>
    <w:p w14:paraId="57DF6C5B" w14:textId="4CDF6CA1" w:rsidR="00B83828" w:rsidRDefault="00550CBB" w:rsidP="00DA3325">
      <w:pPr>
        <w:pStyle w:val="Normal2CtrlAltM"/>
      </w:pPr>
      <w:r>
        <w:t xml:space="preserve">The exemption is not available if the selling business owner fails to </w:t>
      </w:r>
      <w:r w:rsidR="004A66CC">
        <w:t>file their</w:t>
      </w:r>
      <w:r>
        <w:t xml:space="preserve"> income tax return</w:t>
      </w:r>
      <w:r w:rsidR="004A66CC">
        <w:t xml:space="preserve"> in time</w:t>
      </w:r>
      <w:r w:rsidR="004A66CC">
        <w:rPr>
          <w:rStyle w:val="FootnoteReference"/>
        </w:rPr>
        <w:footnoteReference w:id="13"/>
      </w:r>
      <w:r w:rsidR="004A66CC">
        <w:t>,</w:t>
      </w:r>
      <w:r w:rsidR="00893E5C">
        <w:t xml:space="preserve"> or in </w:t>
      </w:r>
      <w:r w:rsidR="00906C1A">
        <w:t xml:space="preserve">several </w:t>
      </w:r>
      <w:r w:rsidR="00893E5C">
        <w:t xml:space="preserve">specific </w:t>
      </w:r>
      <w:r w:rsidR="00906C1A">
        <w:t>circumstances</w:t>
      </w:r>
      <w:r w:rsidR="00906C1A">
        <w:rPr>
          <w:rStyle w:val="FootnoteReference"/>
        </w:rPr>
        <w:footnoteReference w:id="14"/>
      </w:r>
      <w:r w:rsidR="00893E5C">
        <w:t xml:space="preserve"> set out in the</w:t>
      </w:r>
      <w:r w:rsidR="00906C1A">
        <w:t xml:space="preserve"> </w:t>
      </w:r>
      <w:r w:rsidR="00893E5C">
        <w:t>ITA (</w:t>
      </w:r>
      <w:r w:rsidR="00906C1A">
        <w:t>selling business owners should carefully review them)</w:t>
      </w:r>
      <w:r w:rsidR="00545F4D">
        <w:t>.</w:t>
      </w:r>
    </w:p>
    <w:p w14:paraId="74A38E0D" w14:textId="412A005C" w:rsidR="00545F4D" w:rsidRPr="00404601" w:rsidRDefault="00177CF1" w:rsidP="00DA3325">
      <w:pPr>
        <w:pStyle w:val="Normal2CtrlAltM"/>
      </w:pPr>
      <w:r>
        <w:t>Similarly,</w:t>
      </w:r>
      <w:r w:rsidR="00D1460F">
        <w:t xml:space="preserve"> if it can reasonably be concluded</w:t>
      </w:r>
      <w:r w:rsidR="00692A26">
        <w:t xml:space="preserve"> that a significant part of the capital gain cleaned by the selling business owner</w:t>
      </w:r>
      <w:r w:rsidR="00051B6B">
        <w:t xml:space="preserve"> is attributable to the fact </w:t>
      </w:r>
      <w:r w:rsidR="00A47279">
        <w:t xml:space="preserve">that </w:t>
      </w:r>
      <w:r w:rsidR="00051B6B">
        <w:t>the dividends were not paid on a share or the dividends paid were less than 90% of the average annual rate of return on that share, the exemption</w:t>
      </w:r>
      <w:r w:rsidR="00450856">
        <w:t xml:space="preserve"> cannot be used for that capital gain</w:t>
      </w:r>
      <w:r w:rsidR="00450856">
        <w:rPr>
          <w:rStyle w:val="FootnoteReference"/>
        </w:rPr>
        <w:footnoteReference w:id="15"/>
      </w:r>
      <w:r w:rsidR="00450856">
        <w:t>.</w:t>
      </w:r>
    </w:p>
    <w:p w14:paraId="4FC50254" w14:textId="77777777" w:rsidR="00971340" w:rsidRDefault="00971340" w:rsidP="00364EE4">
      <w:pPr>
        <w:pStyle w:val="NoSpacing"/>
      </w:pPr>
      <w:r>
        <w:t>Brian Iler</w:t>
      </w:r>
    </w:p>
    <w:p w14:paraId="55F55748" w14:textId="67D61DD2" w:rsidR="00971340" w:rsidRDefault="005C5A90" w:rsidP="00364EE4">
      <w:pPr>
        <w:pStyle w:val="NoSpacing"/>
      </w:pPr>
      <w:hyperlink r:id="rId8" w:history="1">
        <w:proofErr w:type="spellStart"/>
        <w:r w:rsidR="00971340" w:rsidRPr="005C5A90">
          <w:rPr>
            <w:rStyle w:val="Hyperlink"/>
          </w:rPr>
          <w:t>Iler</w:t>
        </w:r>
        <w:proofErr w:type="spellEnd"/>
        <w:r w:rsidR="00971340" w:rsidRPr="005C5A90">
          <w:rPr>
            <w:rStyle w:val="Hyperlink"/>
          </w:rPr>
          <w:t xml:space="preserve"> Campbell LLP</w:t>
        </w:r>
      </w:hyperlink>
      <w:r>
        <w:t>, Barristers and Solicitors.</w:t>
      </w:r>
    </w:p>
    <w:p w14:paraId="26357F9E" w14:textId="77777777" w:rsidR="005C5A90" w:rsidRDefault="00971340">
      <w:r>
        <w:t>May 2026</w:t>
      </w:r>
    </w:p>
    <w:p w14:paraId="74B9BB45" w14:textId="4FD9C4C0" w:rsidR="00DE717A" w:rsidRDefault="005C5A90">
      <w:r>
        <w:t xml:space="preserve">[Shared with permission of Brian </w:t>
      </w:r>
      <w:proofErr w:type="spellStart"/>
      <w:r>
        <w:t>Iler</w:t>
      </w:r>
      <w:proofErr w:type="spellEnd"/>
      <w:r>
        <w:t>.]</w:t>
      </w:r>
      <w:r w:rsidR="00DE717A">
        <w:br w:type="page"/>
      </w:r>
    </w:p>
    <w:p w14:paraId="31CF08B7" w14:textId="4BDA3142" w:rsidR="00DE717A" w:rsidRPr="00DE717A" w:rsidRDefault="00DE717A" w:rsidP="00DE717A">
      <w:pPr>
        <w:pStyle w:val="Title"/>
      </w:pPr>
      <w:r>
        <w:lastRenderedPageBreak/>
        <w:t>APPENDIX</w:t>
      </w:r>
    </w:p>
    <w:p w14:paraId="694264E9" w14:textId="713AA96D" w:rsidR="006764C1" w:rsidRDefault="006764C1" w:rsidP="00DE717A">
      <w:pPr>
        <w:pStyle w:val="Title"/>
      </w:pPr>
      <w:r>
        <w:t xml:space="preserve">Text of the Amendments </w:t>
      </w:r>
    </w:p>
    <w:p w14:paraId="23822DEB" w14:textId="20DB7BC0" w:rsidR="00C7245D" w:rsidRDefault="006764C1" w:rsidP="00DE717A">
      <w:pPr>
        <w:pStyle w:val="Heading1"/>
        <w:numPr>
          <w:ilvl w:val="0"/>
          <w:numId w:val="21"/>
        </w:numPr>
      </w:pPr>
      <w:r>
        <w:t>ITA Subsection 40</w:t>
      </w:r>
      <w:r w:rsidRPr="00C7245D">
        <w:t>(1.</w:t>
      </w:r>
      <w:r w:rsidRPr="00DE717A">
        <w:rPr>
          <w:rFonts w:ascii="Times New Roman" w:hAnsi="Times New Roman" w:cs="Times New Roman"/>
        </w:rPr>
        <w:t>‍</w:t>
      </w:r>
      <w:r w:rsidRPr="00C7245D">
        <w:t>4)</w:t>
      </w:r>
      <w:r>
        <w:t>:</w:t>
      </w:r>
      <w:r w:rsidRPr="00C7245D">
        <w:t> </w:t>
      </w:r>
    </w:p>
    <w:p w14:paraId="6E46FBE1" w14:textId="77777777" w:rsidR="001D2206" w:rsidRDefault="006764C1" w:rsidP="00C7245D">
      <w:pPr>
        <w:pStyle w:val="Normal2CtrlAltM"/>
      </w:pPr>
      <w:r w:rsidRPr="001D2206">
        <w:rPr>
          <w:b/>
          <w:bCs/>
        </w:rPr>
        <w:t>Reserve that may be Claimed</w:t>
      </w:r>
      <w:r w:rsidRPr="00C7245D">
        <w:t xml:space="preserve"> </w:t>
      </w:r>
    </w:p>
    <w:p w14:paraId="4240CF5A" w14:textId="5DE67C9A" w:rsidR="00C7245D" w:rsidRDefault="00C7245D" w:rsidP="00C7245D">
      <w:pPr>
        <w:pStyle w:val="Normal2CtrlAltM"/>
      </w:pPr>
      <w:r w:rsidRPr="00C7245D">
        <w:t>In computing the amount that a taxpayer may claim under subparagraph (1)</w:t>
      </w:r>
      <w:r w:rsidRPr="00C7245D">
        <w:rPr>
          <w:rFonts w:ascii="Times New Roman" w:hAnsi="Times New Roman" w:cs="Times New Roman"/>
        </w:rPr>
        <w:t>‍</w:t>
      </w:r>
      <w:r w:rsidRPr="00C7245D">
        <w:t>(a)</w:t>
      </w:r>
      <w:r w:rsidRPr="00C7245D">
        <w:rPr>
          <w:rFonts w:ascii="Times New Roman" w:hAnsi="Times New Roman" w:cs="Times New Roman"/>
        </w:rPr>
        <w:t>‍</w:t>
      </w:r>
      <w:r w:rsidRPr="00C7245D">
        <w:t>(iii) in computing the taxpayer</w:t>
      </w:r>
      <w:r w:rsidRPr="00C7245D">
        <w:rPr>
          <w:rFonts w:cs="Garamond"/>
        </w:rPr>
        <w:t>’</w:t>
      </w:r>
      <w:r w:rsidRPr="00C7245D">
        <w:t xml:space="preserve">s gain from the disposition of a share of the capital stock of a corporation, that subparagraph is to be read as if the references in that subparagraph to </w:t>
      </w:r>
      <w:r w:rsidRPr="00C7245D">
        <w:rPr>
          <w:rFonts w:cs="Garamond"/>
        </w:rPr>
        <w:t>“</w:t>
      </w:r>
      <w:r w:rsidRPr="00C7245D">
        <w:t>1/5</w:t>
      </w:r>
      <w:r w:rsidRPr="00C7245D">
        <w:rPr>
          <w:rFonts w:cs="Garamond"/>
        </w:rPr>
        <w:t>”</w:t>
      </w:r>
      <w:r w:rsidRPr="00C7245D">
        <w:t xml:space="preserve"> and </w:t>
      </w:r>
      <w:r w:rsidRPr="00C7245D">
        <w:rPr>
          <w:rFonts w:cs="Garamond"/>
        </w:rPr>
        <w:t>“</w:t>
      </w:r>
      <w:r w:rsidRPr="00C7245D">
        <w:t>4</w:t>
      </w:r>
      <w:r w:rsidRPr="00C7245D">
        <w:rPr>
          <w:rFonts w:cs="Garamond"/>
        </w:rPr>
        <w:t>”</w:t>
      </w:r>
      <w:r w:rsidRPr="00C7245D">
        <w:t xml:space="preserve"> were references to </w:t>
      </w:r>
      <w:r w:rsidRPr="00C7245D">
        <w:rPr>
          <w:rFonts w:cs="Garamond"/>
        </w:rPr>
        <w:t>“</w:t>
      </w:r>
      <w:r w:rsidRPr="00C7245D">
        <w:t>1/10</w:t>
      </w:r>
      <w:r w:rsidRPr="00C7245D">
        <w:rPr>
          <w:rFonts w:cs="Garamond"/>
        </w:rPr>
        <w:t>”</w:t>
      </w:r>
      <w:r w:rsidRPr="00C7245D">
        <w:t xml:space="preserve"> and </w:t>
      </w:r>
      <w:r w:rsidRPr="00C7245D">
        <w:rPr>
          <w:rFonts w:cs="Garamond"/>
        </w:rPr>
        <w:t>“</w:t>
      </w:r>
      <w:r w:rsidRPr="00C7245D">
        <w:t>9</w:t>
      </w:r>
      <w:r w:rsidRPr="00C7245D">
        <w:rPr>
          <w:rFonts w:cs="Garamond"/>
        </w:rPr>
        <w:t>”</w:t>
      </w:r>
      <w:r w:rsidRPr="00C7245D">
        <w:t xml:space="preserve"> respectively, if the shares were disposed of by the taxpayer under a qualifying cooperative conversion.</w:t>
      </w:r>
    </w:p>
    <w:p w14:paraId="5BCA6D93" w14:textId="44B737D8" w:rsidR="006764C1" w:rsidRDefault="006764C1" w:rsidP="004167E5">
      <w:pPr>
        <w:pStyle w:val="Heading1"/>
      </w:pPr>
      <w:r>
        <w:t>ITA Section 110.62:</w:t>
      </w:r>
    </w:p>
    <w:p w14:paraId="209FB323" w14:textId="77777777" w:rsidR="006764C1" w:rsidRPr="001D2206" w:rsidRDefault="006764C1" w:rsidP="001D2206">
      <w:pPr>
        <w:pStyle w:val="Normal2CtrlAltM"/>
        <w:rPr>
          <w:rStyle w:val="Emphasis"/>
          <w:b/>
          <w:bCs/>
          <w:u w:val="none"/>
        </w:rPr>
      </w:pPr>
      <w:r w:rsidRPr="001D2206">
        <w:rPr>
          <w:rStyle w:val="Emphasis"/>
          <w:b/>
          <w:bCs/>
          <w:u w:val="none"/>
        </w:rPr>
        <w:t>Deduction for qualifying cooperative conversion — conditions</w:t>
      </w:r>
    </w:p>
    <w:p w14:paraId="29A80D93" w14:textId="17FBA17D" w:rsidR="006764C1" w:rsidRPr="006764C1" w:rsidRDefault="006764C1" w:rsidP="00C430A4">
      <w:pPr>
        <w:pStyle w:val="Normal2CtrlAltM"/>
      </w:pPr>
      <w:r w:rsidRPr="006764C1">
        <w:t>110.</w:t>
      </w:r>
      <w:r w:rsidRPr="006764C1">
        <w:rPr>
          <w:rFonts w:ascii="Times New Roman" w:hAnsi="Times New Roman" w:cs="Times New Roman"/>
        </w:rPr>
        <w:t>‍</w:t>
      </w:r>
      <w:r w:rsidRPr="006764C1">
        <w:t>62</w:t>
      </w:r>
      <w:r w:rsidRPr="006764C1">
        <w:t> </w:t>
      </w:r>
      <w:r w:rsidRPr="006764C1">
        <w:t>(1)</w:t>
      </w:r>
      <w:r w:rsidRPr="006764C1">
        <w:t> </w:t>
      </w:r>
      <w:r w:rsidRPr="006764C1">
        <w:t xml:space="preserve">Subsection (2) applies to an individual (other than a trust) if, at the time of a disposition (referred to in this section as the “disposition time”) of shares of the capital stock (referred to in this section as the “subject shares”) of a corporation (referred to in this section as the “subject corporation”) to another corporation (referred to in this section as the “purchaser corporation”) that occurred after 2023 </w:t>
      </w:r>
      <w:r w:rsidRPr="00DE717A">
        <w:rPr>
          <w:strike/>
        </w:rPr>
        <w:t>and before 2027</w:t>
      </w:r>
      <w:r w:rsidR="00DE717A">
        <w:rPr>
          <w:rStyle w:val="FootnoteReference"/>
          <w:b/>
          <w:bCs/>
        </w:rPr>
        <w:footnoteReference w:id="16"/>
      </w:r>
      <w:r w:rsidRPr="006764C1">
        <w:t xml:space="preserve"> under a qualifying cooperative conversion, the following conditions are met:</w:t>
      </w:r>
    </w:p>
    <w:p w14:paraId="2F1D7B4C" w14:textId="77777777" w:rsidR="006764C1" w:rsidRPr="006764C1" w:rsidRDefault="006764C1" w:rsidP="00DE717A">
      <w:pPr>
        <w:pStyle w:val="Normal2CtrlAltM"/>
        <w:ind w:left="1440"/>
      </w:pPr>
      <w:r w:rsidRPr="006764C1">
        <w:rPr>
          <w:b/>
          <w:bCs/>
        </w:rPr>
        <w:t>(a)</w:t>
      </w:r>
      <w:r w:rsidRPr="006764C1">
        <w:rPr>
          <w:b/>
          <w:bCs/>
        </w:rPr>
        <w:t> </w:t>
      </w:r>
      <w:r w:rsidRPr="006764C1">
        <w:t>no individual has prior to the disposition time sought a deduction under this section or section 110.</w:t>
      </w:r>
      <w:r w:rsidRPr="006764C1">
        <w:rPr>
          <w:rFonts w:ascii="Times New Roman" w:hAnsi="Times New Roman" w:cs="Times New Roman"/>
        </w:rPr>
        <w:t>‍</w:t>
      </w:r>
      <w:r w:rsidRPr="006764C1">
        <w:t xml:space="preserve">61 in respect of a disposition of shares that, at the time of that disposition, derived their value directly or indirectly, from an active business that is also relevant to the determination of whether the disposition of the subject shares satisfies the condition set out in paragraph (a) of the definition </w:t>
      </w:r>
      <w:r w:rsidRPr="006764C1">
        <w:rPr>
          <w:i/>
          <w:iCs/>
        </w:rPr>
        <w:t>qualifying cooperative conversion</w:t>
      </w:r>
      <w:r w:rsidRPr="006764C1">
        <w:t xml:space="preserve"> in subsection 248(1);</w:t>
      </w:r>
    </w:p>
    <w:p w14:paraId="190FE39C" w14:textId="77777777" w:rsidR="006764C1" w:rsidRPr="006764C1" w:rsidRDefault="006764C1" w:rsidP="00DE717A">
      <w:pPr>
        <w:pStyle w:val="Normal2CtrlAltM"/>
        <w:ind w:left="1440"/>
      </w:pPr>
      <w:r w:rsidRPr="006764C1">
        <w:rPr>
          <w:b/>
          <w:bCs/>
        </w:rPr>
        <w:t>(b)</w:t>
      </w:r>
      <w:r w:rsidRPr="006764C1">
        <w:rPr>
          <w:b/>
          <w:bCs/>
        </w:rPr>
        <w:t> </w:t>
      </w:r>
      <w:r w:rsidRPr="006764C1">
        <w:t>throughout the 24 months immediately preceding the disposition time,</w:t>
      </w:r>
    </w:p>
    <w:p w14:paraId="119B98B6" w14:textId="77777777" w:rsidR="006764C1" w:rsidRPr="006764C1" w:rsidRDefault="006764C1" w:rsidP="00DE717A">
      <w:pPr>
        <w:pStyle w:val="Normal2CtrlAltM"/>
        <w:ind w:left="2160"/>
      </w:pPr>
      <w:r w:rsidRPr="006764C1">
        <w:rPr>
          <w:b/>
          <w:bCs/>
        </w:rPr>
        <w:t>(i)</w:t>
      </w:r>
      <w:r w:rsidRPr="006764C1">
        <w:rPr>
          <w:b/>
          <w:bCs/>
        </w:rPr>
        <w:t> </w:t>
      </w:r>
      <w:r w:rsidRPr="006764C1">
        <w:t>the subject shares were not owned by anyone other than the individual or a person or partnership related to the individual, except that if, at any time in the 24-month period immediately preceding the disposition time, the subject shares were substituted for other shares (in this paragraph referred to as the “substituted shares”), the subject shares shall be considered to have met the requirements of this subparagraph only where the substituted shares were not owned by any person or partnership other than a person or partnership described in this subparagraph throughout the period beginning 24 months before the disposition time and ending at the time of substitution, and</w:t>
      </w:r>
    </w:p>
    <w:p w14:paraId="193E4B12" w14:textId="77777777" w:rsidR="006764C1" w:rsidRPr="006764C1" w:rsidRDefault="006764C1" w:rsidP="00DE717A">
      <w:pPr>
        <w:pStyle w:val="Normal2CtrlAltM"/>
        <w:ind w:left="2160"/>
      </w:pPr>
      <w:r w:rsidRPr="006764C1">
        <w:rPr>
          <w:b/>
          <w:bCs/>
        </w:rPr>
        <w:t>(ii)</w:t>
      </w:r>
      <w:r w:rsidRPr="006764C1">
        <w:rPr>
          <w:b/>
          <w:bCs/>
        </w:rPr>
        <w:t> </w:t>
      </w:r>
      <w:r w:rsidRPr="006764C1">
        <w:t>more than 50% of the fair market value of the subject shares and the substituted shares, if any, was derived directly or indirectly from assets which were used principally in an active business;</w:t>
      </w:r>
    </w:p>
    <w:p w14:paraId="05D2B9EC" w14:textId="77777777" w:rsidR="006764C1" w:rsidRPr="006764C1" w:rsidRDefault="006764C1" w:rsidP="00DE717A">
      <w:pPr>
        <w:pStyle w:val="Normal2CtrlAltM"/>
        <w:ind w:left="1440"/>
      </w:pPr>
      <w:r w:rsidRPr="006764C1">
        <w:rPr>
          <w:b/>
          <w:bCs/>
        </w:rPr>
        <w:t>(c)</w:t>
      </w:r>
      <w:r w:rsidRPr="006764C1">
        <w:rPr>
          <w:b/>
          <w:bCs/>
        </w:rPr>
        <w:t> </w:t>
      </w:r>
      <w:r w:rsidRPr="006764C1">
        <w:t>immediately before the disposition time,</w:t>
      </w:r>
    </w:p>
    <w:p w14:paraId="0033580C" w14:textId="77777777" w:rsidR="006764C1" w:rsidRPr="006764C1" w:rsidRDefault="006764C1" w:rsidP="00DE717A">
      <w:pPr>
        <w:pStyle w:val="Normal2CtrlAltM"/>
        <w:ind w:left="2160"/>
      </w:pPr>
      <w:r w:rsidRPr="006764C1">
        <w:rPr>
          <w:b/>
          <w:bCs/>
        </w:rPr>
        <w:lastRenderedPageBreak/>
        <w:t>(i)</w:t>
      </w:r>
      <w:r w:rsidRPr="006764C1">
        <w:rPr>
          <w:b/>
          <w:bCs/>
        </w:rPr>
        <w:t> </w:t>
      </w:r>
      <w:r w:rsidRPr="006764C1">
        <w:t>the subject corporation and each corporation affiliated with the subject corporation in which the subject corporation owns (directly or indirectly) shares is not a professional corporation, and</w:t>
      </w:r>
    </w:p>
    <w:p w14:paraId="4CC57882" w14:textId="77777777" w:rsidR="006764C1" w:rsidRPr="006764C1" w:rsidRDefault="006764C1" w:rsidP="00DE717A">
      <w:pPr>
        <w:pStyle w:val="Normal2CtrlAltM"/>
        <w:ind w:left="2160"/>
      </w:pPr>
      <w:r w:rsidRPr="006764C1">
        <w:rPr>
          <w:b/>
          <w:bCs/>
        </w:rPr>
        <w:t>(ii)</w:t>
      </w:r>
      <w:r w:rsidRPr="006764C1">
        <w:rPr>
          <w:b/>
          <w:bCs/>
        </w:rPr>
        <w:t> </w:t>
      </w:r>
      <w:r w:rsidRPr="006764C1">
        <w:t>the purchaser corporation is not established for the purposes of providing employment to its members who are its employees at that time (excluding any officer or director of the purchaser corporation) or the employees of another corporation controlled by the purchaser corporation;</w:t>
      </w:r>
    </w:p>
    <w:p w14:paraId="4EACFD40" w14:textId="77777777" w:rsidR="006764C1" w:rsidRPr="006764C1" w:rsidRDefault="006764C1" w:rsidP="00DE717A">
      <w:pPr>
        <w:pStyle w:val="Normal2CtrlAltM"/>
        <w:ind w:left="1440"/>
      </w:pPr>
      <w:r w:rsidRPr="006764C1">
        <w:rPr>
          <w:b/>
          <w:bCs/>
        </w:rPr>
        <w:t>(d)</w:t>
      </w:r>
      <w:r w:rsidRPr="006764C1">
        <w:rPr>
          <w:b/>
          <w:bCs/>
        </w:rPr>
        <w:t> </w:t>
      </w:r>
      <w:r w:rsidRPr="006764C1">
        <w:t>at the disposition time,</w:t>
      </w:r>
    </w:p>
    <w:p w14:paraId="5D7C694C" w14:textId="77777777" w:rsidR="006764C1" w:rsidRPr="006764C1" w:rsidRDefault="006764C1" w:rsidP="00DE717A">
      <w:pPr>
        <w:pStyle w:val="Normal2CtrlAltM"/>
        <w:ind w:left="2160"/>
      </w:pPr>
      <w:r w:rsidRPr="006764C1">
        <w:rPr>
          <w:b/>
          <w:bCs/>
        </w:rPr>
        <w:t>(i)</w:t>
      </w:r>
      <w:r w:rsidRPr="006764C1">
        <w:rPr>
          <w:b/>
          <w:bCs/>
        </w:rPr>
        <w:t> </w:t>
      </w:r>
      <w:r w:rsidRPr="006764C1">
        <w:t>the individual is at least 18 years of age,</w:t>
      </w:r>
    </w:p>
    <w:p w14:paraId="08E07BC7" w14:textId="77777777" w:rsidR="006764C1" w:rsidRPr="006764C1" w:rsidRDefault="006764C1" w:rsidP="00DE717A">
      <w:pPr>
        <w:pStyle w:val="Normal2CtrlAltM"/>
        <w:ind w:left="2160"/>
      </w:pPr>
      <w:r w:rsidRPr="006764C1">
        <w:rPr>
          <w:b/>
          <w:bCs/>
        </w:rPr>
        <w:t>(ii)</w:t>
      </w:r>
      <w:r w:rsidRPr="006764C1">
        <w:rPr>
          <w:b/>
          <w:bCs/>
        </w:rPr>
        <w:t> </w:t>
      </w:r>
      <w:r w:rsidRPr="006764C1">
        <w:t>throughout any 24-month period ending before the disposition time, the individual, or a spouse or common-law partner of the individual, was actively engaged on a regular, continuous and substantial basis (including within the meaning of paragraph 120.</w:t>
      </w:r>
      <w:r w:rsidRPr="006764C1">
        <w:rPr>
          <w:rFonts w:ascii="Times New Roman" w:hAnsi="Times New Roman" w:cs="Times New Roman"/>
        </w:rPr>
        <w:t>‍</w:t>
      </w:r>
      <w:r w:rsidRPr="006764C1">
        <w:t>4(1.</w:t>
      </w:r>
      <w:r w:rsidRPr="006764C1">
        <w:rPr>
          <w:rFonts w:ascii="Times New Roman" w:hAnsi="Times New Roman" w:cs="Times New Roman"/>
        </w:rPr>
        <w:t>‍</w:t>
      </w:r>
      <w:r w:rsidRPr="006764C1">
        <w:t>1)</w:t>
      </w:r>
      <w:r w:rsidRPr="006764C1">
        <w:rPr>
          <w:rFonts w:ascii="Times New Roman" w:hAnsi="Times New Roman" w:cs="Times New Roman"/>
        </w:rPr>
        <w:t>‍</w:t>
      </w:r>
      <w:r w:rsidRPr="006764C1">
        <w:t xml:space="preserve">(a)) in the activities of the business that is relevant to the determination of whether the subject shares satisfy the condition set out in paragraph (a) of the definition </w:t>
      </w:r>
      <w:r w:rsidRPr="006764C1">
        <w:rPr>
          <w:i/>
          <w:iCs/>
        </w:rPr>
        <w:t>qualifying cooperative conversion</w:t>
      </w:r>
      <w:r w:rsidRPr="006764C1">
        <w:t xml:space="preserve"> in subsection 248(1), and</w:t>
      </w:r>
    </w:p>
    <w:p w14:paraId="26F93BBD" w14:textId="77777777" w:rsidR="006764C1" w:rsidRPr="006764C1" w:rsidRDefault="006764C1" w:rsidP="00DE717A">
      <w:pPr>
        <w:pStyle w:val="Normal2CtrlAltM"/>
        <w:ind w:left="2160"/>
      </w:pPr>
      <w:r w:rsidRPr="006764C1">
        <w:rPr>
          <w:b/>
          <w:bCs/>
        </w:rPr>
        <w:t>(iii)</w:t>
      </w:r>
      <w:r w:rsidRPr="006764C1">
        <w:rPr>
          <w:b/>
          <w:bCs/>
        </w:rPr>
        <w:t> </w:t>
      </w:r>
      <w:r w:rsidRPr="006764C1">
        <w:t>the purchaser corporation is a worker cooperative, of which at least 75% of its</w:t>
      </w:r>
    </w:p>
    <w:p w14:paraId="42758F36" w14:textId="77777777" w:rsidR="006764C1" w:rsidRPr="006764C1" w:rsidRDefault="006764C1" w:rsidP="00DE717A">
      <w:pPr>
        <w:pStyle w:val="Normal2CtrlAltM"/>
        <w:ind w:left="2880"/>
      </w:pPr>
      <w:r w:rsidRPr="006764C1">
        <w:rPr>
          <w:b/>
          <w:bCs/>
        </w:rPr>
        <w:t>(A)</w:t>
      </w:r>
      <w:r w:rsidRPr="006764C1">
        <w:rPr>
          <w:b/>
          <w:bCs/>
        </w:rPr>
        <w:t> </w:t>
      </w:r>
      <w:r w:rsidRPr="006764C1">
        <w:t xml:space="preserve">qualifying cooperative workers described in paragraph (d) of the definition </w:t>
      </w:r>
      <w:r w:rsidRPr="006764C1">
        <w:rPr>
          <w:i/>
          <w:iCs/>
        </w:rPr>
        <w:t>worker cooperative</w:t>
      </w:r>
      <w:r w:rsidRPr="006764C1">
        <w:t xml:space="preserve"> in subsection 248(1) are resident in Canada, and</w:t>
      </w:r>
    </w:p>
    <w:p w14:paraId="3303E462" w14:textId="77777777" w:rsidR="006764C1" w:rsidRPr="006764C1" w:rsidRDefault="006764C1" w:rsidP="00DE717A">
      <w:pPr>
        <w:pStyle w:val="Normal2CtrlAltM"/>
        <w:ind w:left="2880"/>
      </w:pPr>
      <w:r w:rsidRPr="006764C1">
        <w:rPr>
          <w:b/>
          <w:bCs/>
        </w:rPr>
        <w:t>(B)</w:t>
      </w:r>
      <w:r w:rsidRPr="006764C1">
        <w:rPr>
          <w:b/>
          <w:bCs/>
        </w:rPr>
        <w:t> </w:t>
      </w:r>
      <w:r w:rsidRPr="006764C1">
        <w:t xml:space="preserve">individual employee members described in paragraph (e) of the definition </w:t>
      </w:r>
      <w:r w:rsidRPr="006764C1">
        <w:rPr>
          <w:i/>
          <w:iCs/>
        </w:rPr>
        <w:t>worker cooperative</w:t>
      </w:r>
      <w:r w:rsidRPr="006764C1">
        <w:t xml:space="preserve"> in subsection 248(1) are resident in Canada; and</w:t>
      </w:r>
    </w:p>
    <w:p w14:paraId="375D4E4E" w14:textId="77777777" w:rsidR="006764C1" w:rsidRPr="006764C1" w:rsidRDefault="006764C1" w:rsidP="00DE717A">
      <w:pPr>
        <w:pStyle w:val="Normal2CtrlAltM"/>
        <w:ind w:left="1440"/>
      </w:pPr>
      <w:r w:rsidRPr="006764C1">
        <w:rPr>
          <w:b/>
          <w:bCs/>
        </w:rPr>
        <w:t>(e)</w:t>
      </w:r>
      <w:r w:rsidRPr="006764C1">
        <w:rPr>
          <w:b/>
          <w:bCs/>
        </w:rPr>
        <w:t> </w:t>
      </w:r>
      <w:r w:rsidRPr="006764C1">
        <w:t>the purchaser corporation, the individual and any other individual entitled to a deduction under subsection (2) in respect of the qualifying cooperative conversion</w:t>
      </w:r>
    </w:p>
    <w:p w14:paraId="1191E3D9" w14:textId="77777777" w:rsidR="006764C1" w:rsidRPr="006764C1" w:rsidRDefault="006764C1" w:rsidP="00DE717A">
      <w:pPr>
        <w:pStyle w:val="Normal2CtrlAltM"/>
        <w:ind w:left="2160"/>
      </w:pPr>
      <w:r w:rsidRPr="006764C1">
        <w:rPr>
          <w:b/>
          <w:bCs/>
        </w:rPr>
        <w:t>(i)</w:t>
      </w:r>
      <w:r w:rsidRPr="006764C1">
        <w:rPr>
          <w:b/>
          <w:bCs/>
        </w:rPr>
        <w:t> </w:t>
      </w:r>
      <w:r w:rsidRPr="006764C1">
        <w:t>jointly elect, in prescribed form, for the deduction provided under subsection (2) to apply in respect of the disposition of the subject shares,</w:t>
      </w:r>
    </w:p>
    <w:p w14:paraId="24DEC9AF" w14:textId="77777777" w:rsidR="006764C1" w:rsidRPr="006764C1" w:rsidRDefault="006764C1" w:rsidP="00DE717A">
      <w:pPr>
        <w:pStyle w:val="Normal2CtrlAltM"/>
        <w:ind w:left="2160"/>
      </w:pPr>
      <w:r w:rsidRPr="006764C1">
        <w:rPr>
          <w:b/>
          <w:bCs/>
        </w:rPr>
        <w:t>(ii)</w:t>
      </w:r>
      <w:r w:rsidRPr="006764C1">
        <w:rPr>
          <w:b/>
          <w:bCs/>
        </w:rPr>
        <w:t> </w:t>
      </w:r>
      <w:r w:rsidRPr="006764C1">
        <w:t>include the following information in the election:</w:t>
      </w:r>
    </w:p>
    <w:p w14:paraId="11EC0DDA" w14:textId="77777777" w:rsidR="006764C1" w:rsidRPr="006764C1" w:rsidRDefault="006764C1" w:rsidP="00DE717A">
      <w:pPr>
        <w:pStyle w:val="Normal2CtrlAltM"/>
        <w:ind w:left="2880"/>
      </w:pPr>
      <w:r w:rsidRPr="006764C1">
        <w:rPr>
          <w:b/>
          <w:bCs/>
        </w:rPr>
        <w:t>(A)</w:t>
      </w:r>
      <w:r w:rsidRPr="006764C1">
        <w:rPr>
          <w:b/>
          <w:bCs/>
        </w:rPr>
        <w:t> </w:t>
      </w:r>
      <w:r w:rsidRPr="006764C1">
        <w:t>an amount (in this paragraph referred to as the “elected amount”) equal to the total amount of capital gains that the parties agree may be eligible for a deduction under subsection (2) with respect to the qualifying cooperative conversion, not exceeding $10,000,000, and</w:t>
      </w:r>
    </w:p>
    <w:p w14:paraId="27DC1E6B" w14:textId="77777777" w:rsidR="006764C1" w:rsidRPr="006764C1" w:rsidRDefault="006764C1" w:rsidP="00DE717A">
      <w:pPr>
        <w:pStyle w:val="Normal2CtrlAltM"/>
        <w:ind w:left="2880"/>
      </w:pPr>
      <w:r w:rsidRPr="006764C1">
        <w:rPr>
          <w:b/>
          <w:bCs/>
        </w:rPr>
        <w:t>(B)</w:t>
      </w:r>
      <w:r w:rsidRPr="006764C1">
        <w:rPr>
          <w:b/>
          <w:bCs/>
        </w:rPr>
        <w:t> </w:t>
      </w:r>
      <w:r w:rsidRPr="006764C1">
        <w:t xml:space="preserve">if more than one individual is eligible for a deduction in respect of the qualifying cooperative conversion, the percentage of the elected amount that is assigned to each eligible individual (provided </w:t>
      </w:r>
      <w:r w:rsidRPr="006764C1">
        <w:lastRenderedPageBreak/>
        <w:t>that the total percentages assigned to all individuals cannot exceed 100%), and</w:t>
      </w:r>
    </w:p>
    <w:p w14:paraId="4287A784" w14:textId="77777777" w:rsidR="006764C1" w:rsidRPr="006764C1" w:rsidRDefault="006764C1" w:rsidP="00DE717A">
      <w:pPr>
        <w:pStyle w:val="Normal2CtrlAltM"/>
        <w:ind w:left="2160"/>
      </w:pPr>
      <w:r w:rsidRPr="006764C1">
        <w:rPr>
          <w:b/>
          <w:bCs/>
        </w:rPr>
        <w:t>(iii)</w:t>
      </w:r>
      <w:r w:rsidRPr="006764C1">
        <w:rPr>
          <w:b/>
          <w:bCs/>
        </w:rPr>
        <w:t> </w:t>
      </w:r>
      <w:r w:rsidRPr="006764C1">
        <w:t>file the election with the Minister on or before the earlier of the individual’s and the worker cooperative’s filing-due date for the taxation year that includes the disposition time.</w:t>
      </w:r>
    </w:p>
    <w:p w14:paraId="69325914" w14:textId="77777777" w:rsidR="006764C1" w:rsidRPr="001D2206" w:rsidRDefault="006764C1" w:rsidP="00C430A4">
      <w:pPr>
        <w:pStyle w:val="Normal2CtrlAltM"/>
        <w:rPr>
          <w:b/>
          <w:bCs/>
        </w:rPr>
      </w:pPr>
      <w:r w:rsidRPr="001D2206">
        <w:rPr>
          <w:b/>
          <w:bCs/>
        </w:rPr>
        <w:t>Capital gains deduction — qualifying cooperative conversions</w:t>
      </w:r>
    </w:p>
    <w:p w14:paraId="4B904435" w14:textId="77777777" w:rsidR="006764C1" w:rsidRPr="006764C1" w:rsidRDefault="006764C1" w:rsidP="00C430A4">
      <w:pPr>
        <w:pStyle w:val="Normal2CtrlAltM"/>
      </w:pPr>
      <w:r w:rsidRPr="006764C1">
        <w:t>(2)</w:t>
      </w:r>
      <w:r w:rsidRPr="006764C1">
        <w:t> </w:t>
      </w:r>
      <w:r w:rsidRPr="006764C1">
        <w:t>If this subsection applies to an individual, in computing the taxable income for a taxation year of the individual, there may be deducted such amount as the individual may claim not exceeding the least of</w:t>
      </w:r>
    </w:p>
    <w:p w14:paraId="78958D54" w14:textId="77777777" w:rsidR="006764C1" w:rsidRPr="006764C1" w:rsidRDefault="006764C1" w:rsidP="00C430A4">
      <w:pPr>
        <w:pStyle w:val="Normal2CtrlAltM"/>
      </w:pPr>
      <w:r w:rsidRPr="006764C1">
        <w:rPr>
          <w:b/>
          <w:bCs/>
        </w:rPr>
        <w:t>(a)</w:t>
      </w:r>
      <w:r w:rsidRPr="006764C1">
        <w:rPr>
          <w:b/>
          <w:bCs/>
        </w:rPr>
        <w:t> </w:t>
      </w:r>
      <w:r w:rsidRPr="006764C1">
        <w:t>the amount determined by the formula</w:t>
      </w:r>
    </w:p>
    <w:p w14:paraId="1C5BB4D2" w14:textId="77777777" w:rsidR="006764C1" w:rsidRPr="006764C1" w:rsidRDefault="006764C1" w:rsidP="006764C1">
      <w:pPr>
        <w:pStyle w:val="Normal2CtrlAltM"/>
        <w:rPr>
          <w:b/>
          <w:bCs/>
        </w:rPr>
      </w:pPr>
      <w:r w:rsidRPr="006764C1">
        <w:rPr>
          <w:b/>
          <w:bCs/>
        </w:rPr>
        <w:t>A × B × C − D</w:t>
      </w:r>
    </w:p>
    <w:p w14:paraId="0534A5F3" w14:textId="77777777" w:rsidR="006764C1" w:rsidRPr="006764C1" w:rsidRDefault="006764C1" w:rsidP="006764C1">
      <w:pPr>
        <w:pStyle w:val="Normal2CtrlAltM"/>
      </w:pPr>
      <w:proofErr w:type="gramStart"/>
      <w:r w:rsidRPr="006764C1">
        <w:t>where</w:t>
      </w:r>
      <w:proofErr w:type="gramEnd"/>
    </w:p>
    <w:p w14:paraId="52E39166" w14:textId="11DEA263" w:rsidR="006764C1" w:rsidRPr="006764C1" w:rsidRDefault="006764C1" w:rsidP="006764C1">
      <w:pPr>
        <w:pStyle w:val="Normal2CtrlAltM"/>
      </w:pPr>
      <w:r w:rsidRPr="006764C1">
        <w:rPr>
          <w:b/>
          <w:bCs/>
        </w:rPr>
        <w:t>A</w:t>
      </w:r>
      <w:r w:rsidR="001D2206">
        <w:rPr>
          <w:b/>
          <w:bCs/>
        </w:rPr>
        <w:t xml:space="preserve"> </w:t>
      </w:r>
      <w:r w:rsidRPr="006764C1">
        <w:t>is the elected amount (within the meaning of clause (1)</w:t>
      </w:r>
      <w:r w:rsidRPr="006764C1">
        <w:rPr>
          <w:rFonts w:ascii="Times New Roman" w:hAnsi="Times New Roman" w:cs="Times New Roman"/>
        </w:rPr>
        <w:t>‍</w:t>
      </w:r>
      <w:r w:rsidRPr="006764C1">
        <w:t>(e)</w:t>
      </w:r>
      <w:r w:rsidRPr="006764C1">
        <w:rPr>
          <w:rFonts w:ascii="Times New Roman" w:hAnsi="Times New Roman" w:cs="Times New Roman"/>
        </w:rPr>
        <w:t>‍</w:t>
      </w:r>
      <w:r w:rsidRPr="006764C1">
        <w:t>(ii)</w:t>
      </w:r>
      <w:r w:rsidRPr="006764C1">
        <w:rPr>
          <w:rFonts w:ascii="Times New Roman" w:hAnsi="Times New Roman" w:cs="Times New Roman"/>
        </w:rPr>
        <w:t>‍</w:t>
      </w:r>
      <w:r w:rsidRPr="006764C1">
        <w:t>(A)) included in the joint election referred to in paragraph (1)</w:t>
      </w:r>
      <w:r w:rsidRPr="006764C1">
        <w:rPr>
          <w:rFonts w:ascii="Times New Roman" w:hAnsi="Times New Roman" w:cs="Times New Roman"/>
        </w:rPr>
        <w:t>‍</w:t>
      </w:r>
      <w:r w:rsidRPr="006764C1">
        <w:t>(e),</w:t>
      </w:r>
    </w:p>
    <w:p w14:paraId="6A8E8EEF" w14:textId="23206A8C" w:rsidR="006764C1" w:rsidRPr="006764C1" w:rsidRDefault="006764C1" w:rsidP="006764C1">
      <w:pPr>
        <w:pStyle w:val="Normal2CtrlAltM"/>
      </w:pPr>
      <w:r w:rsidRPr="006764C1">
        <w:rPr>
          <w:b/>
          <w:bCs/>
        </w:rPr>
        <w:t>B</w:t>
      </w:r>
      <w:r w:rsidR="001D2206">
        <w:rPr>
          <w:b/>
          <w:bCs/>
        </w:rPr>
        <w:t xml:space="preserve"> </w:t>
      </w:r>
      <w:r w:rsidRPr="006764C1">
        <w:t>is</w:t>
      </w:r>
    </w:p>
    <w:p w14:paraId="7A0E59D6" w14:textId="77777777" w:rsidR="006764C1" w:rsidRPr="006764C1" w:rsidRDefault="006764C1" w:rsidP="00DE717A">
      <w:pPr>
        <w:pStyle w:val="Normal2CtrlAltM"/>
        <w:ind w:left="1440"/>
      </w:pPr>
      <w:r w:rsidRPr="006764C1">
        <w:rPr>
          <w:b/>
          <w:bCs/>
        </w:rPr>
        <w:t>(i)</w:t>
      </w:r>
      <w:r w:rsidRPr="006764C1">
        <w:rPr>
          <w:b/>
          <w:bCs/>
        </w:rPr>
        <w:t> </w:t>
      </w:r>
      <w:r w:rsidRPr="006764C1">
        <w:t>1, if only one individual is entitled to a deduction under this subsection in respect of the qualifying cooperative conversion,</w:t>
      </w:r>
    </w:p>
    <w:p w14:paraId="13995FFB" w14:textId="77777777" w:rsidR="006764C1" w:rsidRPr="006764C1" w:rsidRDefault="006764C1" w:rsidP="00DE717A">
      <w:pPr>
        <w:pStyle w:val="Normal2CtrlAltM"/>
        <w:ind w:left="1440"/>
      </w:pPr>
      <w:r w:rsidRPr="006764C1">
        <w:rPr>
          <w:b/>
          <w:bCs/>
        </w:rPr>
        <w:t>(ii)</w:t>
      </w:r>
      <w:r w:rsidRPr="006764C1">
        <w:rPr>
          <w:b/>
          <w:bCs/>
        </w:rPr>
        <w:t> </w:t>
      </w:r>
      <w:r w:rsidRPr="006764C1">
        <w:t>the percentage assigned to the individual in the joint election referred to in paragraph (1)</w:t>
      </w:r>
      <w:r w:rsidRPr="006764C1">
        <w:rPr>
          <w:rFonts w:ascii="Times New Roman" w:hAnsi="Times New Roman" w:cs="Times New Roman"/>
        </w:rPr>
        <w:t>‍</w:t>
      </w:r>
      <w:r w:rsidRPr="006764C1">
        <w:t>(e), if a percentage is assigned to the individual in accordance with clause (1)</w:t>
      </w:r>
      <w:r w:rsidRPr="006764C1">
        <w:rPr>
          <w:rFonts w:ascii="Times New Roman" w:hAnsi="Times New Roman" w:cs="Times New Roman"/>
        </w:rPr>
        <w:t>‍</w:t>
      </w:r>
      <w:r w:rsidRPr="006764C1">
        <w:t>(e)</w:t>
      </w:r>
      <w:r w:rsidRPr="006764C1">
        <w:rPr>
          <w:rFonts w:ascii="Times New Roman" w:hAnsi="Times New Roman" w:cs="Times New Roman"/>
        </w:rPr>
        <w:t>‍</w:t>
      </w:r>
      <w:r w:rsidRPr="006764C1">
        <w:t>(ii)</w:t>
      </w:r>
      <w:r w:rsidRPr="006764C1">
        <w:rPr>
          <w:rFonts w:ascii="Times New Roman" w:hAnsi="Times New Roman" w:cs="Times New Roman"/>
        </w:rPr>
        <w:t>‍</w:t>
      </w:r>
      <w:r w:rsidRPr="006764C1">
        <w:t>(B), and</w:t>
      </w:r>
    </w:p>
    <w:p w14:paraId="7E03CFC2" w14:textId="77777777" w:rsidR="006764C1" w:rsidRPr="006764C1" w:rsidRDefault="006764C1" w:rsidP="00DE717A">
      <w:pPr>
        <w:pStyle w:val="Normal2CtrlAltM"/>
        <w:ind w:left="1440"/>
      </w:pPr>
      <w:r w:rsidRPr="006764C1">
        <w:rPr>
          <w:b/>
          <w:bCs/>
        </w:rPr>
        <w:t>(iii)</w:t>
      </w:r>
      <w:r w:rsidRPr="006764C1">
        <w:rPr>
          <w:b/>
          <w:bCs/>
        </w:rPr>
        <w:t> </w:t>
      </w:r>
      <w:r w:rsidRPr="006764C1">
        <w:t>in any other case, nil,</w:t>
      </w:r>
    </w:p>
    <w:p w14:paraId="6BE2FF66" w14:textId="5E81CB5D" w:rsidR="006764C1" w:rsidRPr="006764C1" w:rsidRDefault="006764C1" w:rsidP="006764C1">
      <w:pPr>
        <w:pStyle w:val="Normal2CtrlAltM"/>
      </w:pPr>
      <w:r w:rsidRPr="006764C1">
        <w:rPr>
          <w:b/>
          <w:bCs/>
        </w:rPr>
        <w:t>C</w:t>
      </w:r>
      <w:r w:rsidR="001D2206">
        <w:rPr>
          <w:b/>
          <w:bCs/>
        </w:rPr>
        <w:t xml:space="preserve"> </w:t>
      </w:r>
      <w:r w:rsidRPr="006764C1">
        <w:t>is the fraction of the taxpayer’s capital gain from the disposition of the subject shares that is a taxable capital gain under paragraph 38(a) that applies to the subject shares in the year, and</w:t>
      </w:r>
    </w:p>
    <w:p w14:paraId="31210F36" w14:textId="6E14DEE6" w:rsidR="006764C1" w:rsidRPr="006764C1" w:rsidRDefault="006764C1" w:rsidP="006764C1">
      <w:pPr>
        <w:pStyle w:val="Normal2CtrlAltM"/>
      </w:pPr>
      <w:r w:rsidRPr="006764C1">
        <w:rPr>
          <w:b/>
          <w:bCs/>
        </w:rPr>
        <w:t>D</w:t>
      </w:r>
      <w:r w:rsidR="001D2206">
        <w:rPr>
          <w:b/>
          <w:bCs/>
        </w:rPr>
        <w:t xml:space="preserve"> </w:t>
      </w:r>
      <w:r w:rsidRPr="006764C1">
        <w:t>is the total of each amount claimed by the taxpayer under this subsection in a prior taxation year in respect of the disposition of the subject shares multiplied by the amount determined by the formula</w:t>
      </w:r>
    </w:p>
    <w:p w14:paraId="5C515791" w14:textId="77777777" w:rsidR="006764C1" w:rsidRPr="006764C1" w:rsidRDefault="006764C1" w:rsidP="006764C1">
      <w:pPr>
        <w:pStyle w:val="Normal2CtrlAltM"/>
        <w:rPr>
          <w:b/>
          <w:bCs/>
        </w:rPr>
      </w:pPr>
      <w:r w:rsidRPr="006764C1">
        <w:rPr>
          <w:b/>
          <w:bCs/>
        </w:rPr>
        <w:t>E ÷ F</w:t>
      </w:r>
    </w:p>
    <w:p w14:paraId="3799446C" w14:textId="77777777" w:rsidR="006764C1" w:rsidRPr="006764C1" w:rsidRDefault="006764C1" w:rsidP="006764C1">
      <w:pPr>
        <w:pStyle w:val="Normal2CtrlAltM"/>
      </w:pPr>
      <w:proofErr w:type="gramStart"/>
      <w:r w:rsidRPr="006764C1">
        <w:t>where</w:t>
      </w:r>
      <w:proofErr w:type="gramEnd"/>
    </w:p>
    <w:p w14:paraId="4B68B702" w14:textId="7FA809CE" w:rsidR="006764C1" w:rsidRPr="006764C1" w:rsidRDefault="006764C1" w:rsidP="006764C1">
      <w:pPr>
        <w:pStyle w:val="Normal2CtrlAltM"/>
      </w:pPr>
      <w:r w:rsidRPr="006764C1">
        <w:rPr>
          <w:b/>
          <w:bCs/>
        </w:rPr>
        <w:t>E</w:t>
      </w:r>
      <w:r w:rsidR="001D2206">
        <w:rPr>
          <w:b/>
          <w:bCs/>
        </w:rPr>
        <w:t xml:space="preserve"> </w:t>
      </w:r>
      <w:r w:rsidRPr="006764C1">
        <w:t>is the fraction of a capital gain that is a taxable capital gain under paragraph 38(a) in the current year, and</w:t>
      </w:r>
    </w:p>
    <w:p w14:paraId="724CED69" w14:textId="7A84A9CB" w:rsidR="006764C1" w:rsidRDefault="006764C1" w:rsidP="006764C1">
      <w:pPr>
        <w:pStyle w:val="Normal2CtrlAltM"/>
      </w:pPr>
      <w:r w:rsidRPr="006764C1">
        <w:rPr>
          <w:b/>
          <w:bCs/>
        </w:rPr>
        <w:lastRenderedPageBreak/>
        <w:t>F</w:t>
      </w:r>
      <w:r w:rsidR="001D2206">
        <w:rPr>
          <w:b/>
          <w:bCs/>
        </w:rPr>
        <w:t xml:space="preserve"> </w:t>
      </w:r>
      <w:r w:rsidRPr="006764C1">
        <w:t>is the fraction of a capital gain that is a taxable capital gain under paragraph 38(a) in the prior year in respect of the disposition of the subject shares; and</w:t>
      </w:r>
    </w:p>
    <w:p w14:paraId="5744A0AF" w14:textId="77777777" w:rsidR="00270595" w:rsidRPr="006764C1" w:rsidRDefault="00270595" w:rsidP="00270595">
      <w:pPr>
        <w:pStyle w:val="Normal2CtrlAltM"/>
      </w:pPr>
      <w:r w:rsidRPr="006764C1">
        <w:t>(b)</w:t>
      </w:r>
      <w:r w:rsidRPr="006764C1">
        <w:t> </w:t>
      </w:r>
      <w:r w:rsidRPr="006764C1">
        <w:t>the amount determined by the formula</w:t>
      </w:r>
    </w:p>
    <w:p w14:paraId="7ED530B6" w14:textId="77777777" w:rsidR="00270595" w:rsidRPr="006764C1" w:rsidRDefault="00270595" w:rsidP="00270595">
      <w:pPr>
        <w:pStyle w:val="Normal2CtrlAltM"/>
        <w:rPr>
          <w:b/>
          <w:bCs/>
        </w:rPr>
      </w:pPr>
      <w:r w:rsidRPr="006764C1">
        <w:rPr>
          <w:b/>
          <w:bCs/>
        </w:rPr>
        <w:t>G − H</w:t>
      </w:r>
    </w:p>
    <w:p w14:paraId="53BABFD6" w14:textId="77777777" w:rsidR="00270595" w:rsidRPr="006764C1" w:rsidRDefault="00270595" w:rsidP="00270595">
      <w:pPr>
        <w:pStyle w:val="Normal2CtrlAltM"/>
      </w:pPr>
      <w:proofErr w:type="gramStart"/>
      <w:r w:rsidRPr="006764C1">
        <w:t>where</w:t>
      </w:r>
      <w:proofErr w:type="gramEnd"/>
    </w:p>
    <w:p w14:paraId="3E5E4930" w14:textId="77777777" w:rsidR="00270595" w:rsidRPr="006764C1" w:rsidRDefault="00270595" w:rsidP="00270595">
      <w:pPr>
        <w:pStyle w:val="Normal2CtrlAltM"/>
      </w:pPr>
      <w:r w:rsidRPr="006764C1">
        <w:rPr>
          <w:b/>
          <w:bCs/>
        </w:rPr>
        <w:t>G</w:t>
      </w:r>
      <w:r>
        <w:rPr>
          <w:b/>
          <w:bCs/>
        </w:rPr>
        <w:t xml:space="preserve"> </w:t>
      </w:r>
      <w:r w:rsidRPr="006764C1">
        <w:t>is the lesser of</w:t>
      </w:r>
    </w:p>
    <w:p w14:paraId="422A851D" w14:textId="77777777" w:rsidR="00270595" w:rsidRPr="006764C1" w:rsidRDefault="00270595" w:rsidP="00270595">
      <w:pPr>
        <w:pStyle w:val="Normal2CtrlAltM"/>
        <w:ind w:left="1440"/>
      </w:pPr>
      <w:r w:rsidRPr="006764C1">
        <w:rPr>
          <w:b/>
          <w:bCs/>
        </w:rPr>
        <w:t>(i)</w:t>
      </w:r>
      <w:r w:rsidRPr="006764C1">
        <w:rPr>
          <w:b/>
          <w:bCs/>
        </w:rPr>
        <w:t> </w:t>
      </w:r>
      <w:r w:rsidRPr="006764C1">
        <w:t>the amount determined in respect of the individual for the year under paragraph 3(b) in respect of capital gains and capital losses (except any portion related to a deduction previously claimed by the individual in the year under this subsection or subsection 110.</w:t>
      </w:r>
      <w:r w:rsidRPr="006764C1">
        <w:rPr>
          <w:rFonts w:ascii="Times New Roman" w:hAnsi="Times New Roman" w:cs="Times New Roman"/>
        </w:rPr>
        <w:t>‍</w:t>
      </w:r>
      <w:r w:rsidRPr="006764C1">
        <w:t>61(2)), and</w:t>
      </w:r>
    </w:p>
    <w:p w14:paraId="744178BB" w14:textId="77777777" w:rsidR="00270595" w:rsidRPr="006764C1" w:rsidRDefault="00270595" w:rsidP="00270595">
      <w:pPr>
        <w:pStyle w:val="Normal2CtrlAltM"/>
        <w:ind w:left="1440"/>
      </w:pPr>
      <w:r w:rsidRPr="006764C1">
        <w:rPr>
          <w:b/>
          <w:bCs/>
        </w:rPr>
        <w:t>(ii)</w:t>
      </w:r>
      <w:r w:rsidRPr="006764C1">
        <w:rPr>
          <w:b/>
          <w:bCs/>
        </w:rPr>
        <w:t> </w:t>
      </w:r>
      <w:r w:rsidRPr="006764C1">
        <w:t>the amount that would be determined in respect of the individual for the year under paragraph 3(b) in respect of capital gains and losses if the only properties referred to in that paragraph were the subject shares, and</w:t>
      </w:r>
    </w:p>
    <w:p w14:paraId="0EC19DEA" w14:textId="77777777" w:rsidR="00270595" w:rsidRPr="006764C1" w:rsidRDefault="00270595" w:rsidP="00270595">
      <w:pPr>
        <w:pStyle w:val="Normal2CtrlAltM"/>
      </w:pPr>
      <w:r w:rsidRPr="006764C1">
        <w:rPr>
          <w:b/>
          <w:bCs/>
        </w:rPr>
        <w:t>H</w:t>
      </w:r>
      <w:r>
        <w:rPr>
          <w:b/>
          <w:bCs/>
        </w:rPr>
        <w:t xml:space="preserve"> </w:t>
      </w:r>
      <w:r w:rsidRPr="006764C1">
        <w:t>is the total of</w:t>
      </w:r>
    </w:p>
    <w:p w14:paraId="34D3D6C7" w14:textId="77777777" w:rsidR="00270595" w:rsidRPr="006764C1" w:rsidRDefault="00270595" w:rsidP="00270595">
      <w:pPr>
        <w:pStyle w:val="Normal2CtrlAltM"/>
        <w:ind w:left="1440"/>
      </w:pPr>
      <w:r w:rsidRPr="006764C1">
        <w:rPr>
          <w:b/>
          <w:bCs/>
        </w:rPr>
        <w:t>(i)</w:t>
      </w:r>
      <w:r w:rsidRPr="006764C1">
        <w:rPr>
          <w:b/>
          <w:bCs/>
        </w:rPr>
        <w:t> </w:t>
      </w:r>
      <w:r w:rsidRPr="006764C1">
        <w:t>the individual’s allowable business investment losses for the year (except any portion that previously reduced the amount otherwise deductible by the individual in the year under this subsection or subsection 110.</w:t>
      </w:r>
      <w:r w:rsidRPr="006764C1">
        <w:rPr>
          <w:rFonts w:ascii="Times New Roman" w:hAnsi="Times New Roman" w:cs="Times New Roman"/>
        </w:rPr>
        <w:t>‍</w:t>
      </w:r>
      <w:r w:rsidRPr="006764C1">
        <w:t>61(2)),</w:t>
      </w:r>
    </w:p>
    <w:p w14:paraId="3DE34FAF" w14:textId="77777777" w:rsidR="00270595" w:rsidRPr="006764C1" w:rsidRDefault="00270595" w:rsidP="00270595">
      <w:pPr>
        <w:pStyle w:val="Normal2CtrlAltM"/>
        <w:ind w:left="1440"/>
      </w:pPr>
      <w:r w:rsidRPr="006764C1">
        <w:rPr>
          <w:b/>
          <w:bCs/>
        </w:rPr>
        <w:t>(ii)</w:t>
      </w:r>
      <w:r w:rsidRPr="006764C1">
        <w:rPr>
          <w:b/>
          <w:bCs/>
        </w:rPr>
        <w:t> </w:t>
      </w:r>
      <w:r w:rsidRPr="006764C1">
        <w:t>the amount, if any, by which the individual’s investment expense for the year exceeds the individual’s investment income for the year (except any portion of the excess that previously reduced the amount otherwise deductible by the individual in the year under this subsection or subsection 110.</w:t>
      </w:r>
      <w:r w:rsidRPr="006764C1">
        <w:rPr>
          <w:rFonts w:ascii="Times New Roman" w:hAnsi="Times New Roman" w:cs="Times New Roman"/>
        </w:rPr>
        <w:t>‍</w:t>
      </w:r>
      <w:r w:rsidRPr="006764C1">
        <w:t>61(2)), and for the purposes of this subparagraph,</w:t>
      </w:r>
    </w:p>
    <w:p w14:paraId="5474B9AD" w14:textId="77777777" w:rsidR="00270595" w:rsidRPr="006764C1" w:rsidRDefault="00270595" w:rsidP="00270595">
      <w:pPr>
        <w:pStyle w:val="Normal2CtrlAltM"/>
        <w:ind w:left="2160"/>
      </w:pPr>
      <w:r w:rsidRPr="006764C1">
        <w:rPr>
          <w:b/>
          <w:bCs/>
        </w:rPr>
        <w:t>(A)</w:t>
      </w:r>
      <w:r w:rsidRPr="006764C1">
        <w:rPr>
          <w:b/>
          <w:bCs/>
        </w:rPr>
        <w:t> </w:t>
      </w:r>
      <w:r w:rsidRPr="006764C1">
        <w:rPr>
          <w:b/>
          <w:bCs/>
          <w:i/>
          <w:iCs/>
        </w:rPr>
        <w:t>investment expense</w:t>
      </w:r>
      <w:r w:rsidRPr="006764C1">
        <w:t xml:space="preserve"> of an individual for a year, has the same meaning as in subsection 110.</w:t>
      </w:r>
      <w:r w:rsidRPr="006764C1">
        <w:rPr>
          <w:rFonts w:ascii="Times New Roman" w:hAnsi="Times New Roman" w:cs="Times New Roman"/>
        </w:rPr>
        <w:t>‍</w:t>
      </w:r>
      <w:r w:rsidRPr="006764C1">
        <w:t xml:space="preserve">6(1) except that, the reference to </w:t>
      </w:r>
      <w:r w:rsidRPr="006764C1">
        <w:rPr>
          <w:rFonts w:cs="Garamond"/>
        </w:rPr>
        <w:t>“</w:t>
      </w:r>
      <w:r w:rsidRPr="006764C1">
        <w:t xml:space="preserve">amount determined in respect of the individual for the year under paragraph (a) of the description of B in the definition </w:t>
      </w:r>
      <w:r w:rsidRPr="006764C1">
        <w:rPr>
          <w:i/>
          <w:iCs/>
        </w:rPr>
        <w:t>annual gains limit</w:t>
      </w:r>
      <w:r w:rsidRPr="006764C1">
        <w:t>” in paragraph (f) of that definition is to be read as “total of all amounts determined in respect of the individual for the year under subparagraph (iii) of the description of H in subsection 110.</w:t>
      </w:r>
      <w:r w:rsidRPr="006764C1">
        <w:rPr>
          <w:rFonts w:ascii="Times New Roman" w:hAnsi="Times New Roman" w:cs="Times New Roman"/>
        </w:rPr>
        <w:t>‍</w:t>
      </w:r>
      <w:r w:rsidRPr="006764C1">
        <w:t>61(2) and subparagraph (iii) of the description of H in subsection 110.</w:t>
      </w:r>
      <w:r w:rsidRPr="006764C1">
        <w:rPr>
          <w:rFonts w:ascii="Times New Roman" w:hAnsi="Times New Roman" w:cs="Times New Roman"/>
        </w:rPr>
        <w:t>‍</w:t>
      </w:r>
      <w:r w:rsidRPr="006764C1">
        <w:t>62(2) (to the extent that amount reduces the amount otherwise deductible under that subsection)</w:t>
      </w:r>
      <w:r w:rsidRPr="006764C1">
        <w:rPr>
          <w:rFonts w:cs="Garamond"/>
        </w:rPr>
        <w:t>”</w:t>
      </w:r>
      <w:r w:rsidRPr="006764C1">
        <w:t>, and</w:t>
      </w:r>
    </w:p>
    <w:p w14:paraId="1D03F82B" w14:textId="77777777" w:rsidR="00270595" w:rsidRPr="006764C1" w:rsidRDefault="00270595" w:rsidP="00270595">
      <w:pPr>
        <w:pStyle w:val="Normal2CtrlAltM"/>
        <w:ind w:left="2160"/>
      </w:pPr>
      <w:r w:rsidRPr="006764C1">
        <w:rPr>
          <w:b/>
          <w:bCs/>
        </w:rPr>
        <w:t>(B)</w:t>
      </w:r>
      <w:r w:rsidRPr="006764C1">
        <w:rPr>
          <w:b/>
          <w:bCs/>
        </w:rPr>
        <w:t> </w:t>
      </w:r>
      <w:r w:rsidRPr="006764C1">
        <w:rPr>
          <w:b/>
          <w:bCs/>
          <w:i/>
          <w:iCs/>
        </w:rPr>
        <w:t>investment income</w:t>
      </w:r>
      <w:r w:rsidRPr="006764C1">
        <w:t xml:space="preserve"> of an individual for a year, has the same meaning as in subsection 110.</w:t>
      </w:r>
      <w:r w:rsidRPr="006764C1">
        <w:rPr>
          <w:rFonts w:ascii="Times New Roman" w:hAnsi="Times New Roman" w:cs="Times New Roman"/>
        </w:rPr>
        <w:t>‍</w:t>
      </w:r>
      <w:r w:rsidRPr="006764C1">
        <w:t xml:space="preserve">6(1) except that, the reference to </w:t>
      </w:r>
      <w:r w:rsidRPr="006764C1">
        <w:rPr>
          <w:rFonts w:cs="Garamond"/>
        </w:rPr>
        <w:t>“</w:t>
      </w:r>
      <w:r w:rsidRPr="006764C1">
        <w:t xml:space="preserve">amount determined in respect of the individual for the year for A in the definition </w:t>
      </w:r>
      <w:r w:rsidRPr="006764C1">
        <w:rPr>
          <w:i/>
          <w:iCs/>
        </w:rPr>
        <w:t>annual gains limit</w:t>
      </w:r>
      <w:r w:rsidRPr="006764C1">
        <w:t>” in paragraph (f) of that definition is to be read as “total of all amounts determined in respect of the individual for the year for the description of G in subsection 110.</w:t>
      </w:r>
      <w:r w:rsidRPr="006764C1">
        <w:rPr>
          <w:rFonts w:ascii="Times New Roman" w:hAnsi="Times New Roman" w:cs="Times New Roman"/>
        </w:rPr>
        <w:t>‍</w:t>
      </w:r>
      <w:r w:rsidRPr="006764C1">
        <w:t>61(2) and the description of G in subsection 110.</w:t>
      </w:r>
      <w:r w:rsidRPr="006764C1">
        <w:rPr>
          <w:rFonts w:ascii="Times New Roman" w:hAnsi="Times New Roman" w:cs="Times New Roman"/>
        </w:rPr>
        <w:t>‍</w:t>
      </w:r>
      <w:r w:rsidRPr="006764C1">
        <w:t xml:space="preserve">62(2) </w:t>
      </w:r>
      <w:r w:rsidRPr="006764C1">
        <w:lastRenderedPageBreak/>
        <w:t>(except any amount that previously reduced the amount otherwise deductible by the individual in the year under subsection 110.</w:t>
      </w:r>
      <w:r w:rsidRPr="006764C1">
        <w:rPr>
          <w:rFonts w:ascii="Times New Roman" w:hAnsi="Times New Roman" w:cs="Times New Roman"/>
        </w:rPr>
        <w:t>‍</w:t>
      </w:r>
      <w:r w:rsidRPr="006764C1">
        <w:t>61(2) or 110.</w:t>
      </w:r>
      <w:r w:rsidRPr="006764C1">
        <w:rPr>
          <w:rFonts w:ascii="Times New Roman" w:hAnsi="Times New Roman" w:cs="Times New Roman"/>
        </w:rPr>
        <w:t>‍</w:t>
      </w:r>
      <w:r w:rsidRPr="006764C1">
        <w:t>62(2))</w:t>
      </w:r>
      <w:r w:rsidRPr="006764C1">
        <w:rPr>
          <w:rFonts w:cs="Garamond"/>
        </w:rPr>
        <w:t>”</w:t>
      </w:r>
      <w:r w:rsidRPr="006764C1">
        <w:t>, and</w:t>
      </w:r>
    </w:p>
    <w:p w14:paraId="3C5446B0" w14:textId="77777777" w:rsidR="00270595" w:rsidRPr="006764C1" w:rsidRDefault="00270595" w:rsidP="00270595">
      <w:pPr>
        <w:pStyle w:val="Normal2CtrlAltM"/>
      </w:pPr>
      <w:r w:rsidRPr="006764C1">
        <w:rPr>
          <w:b/>
          <w:bCs/>
        </w:rPr>
        <w:t>(iii)</w:t>
      </w:r>
      <w:r w:rsidRPr="006764C1">
        <w:rPr>
          <w:b/>
          <w:bCs/>
        </w:rPr>
        <w:t> </w:t>
      </w:r>
      <w:r w:rsidRPr="006764C1">
        <w:t>the amount, if any, by which</w:t>
      </w:r>
    </w:p>
    <w:p w14:paraId="0828A934" w14:textId="77777777" w:rsidR="00270595" w:rsidRPr="006764C1" w:rsidRDefault="00270595" w:rsidP="00270595">
      <w:pPr>
        <w:pStyle w:val="Normal2CtrlAltM"/>
        <w:ind w:left="1440"/>
      </w:pPr>
      <w:r w:rsidRPr="006764C1">
        <w:rPr>
          <w:b/>
          <w:bCs/>
        </w:rPr>
        <w:t>(A)</w:t>
      </w:r>
      <w:r w:rsidRPr="006764C1">
        <w:rPr>
          <w:b/>
          <w:bCs/>
        </w:rPr>
        <w:t> </w:t>
      </w:r>
      <w:r w:rsidRPr="006764C1">
        <w:t>the individual’s net capital losses for other taxation years deducted under paragraph 111(1)</w:t>
      </w:r>
      <w:r w:rsidRPr="006764C1">
        <w:rPr>
          <w:rFonts w:ascii="Times New Roman" w:hAnsi="Times New Roman" w:cs="Times New Roman"/>
        </w:rPr>
        <w:t>‍</w:t>
      </w:r>
      <w:r w:rsidRPr="006764C1">
        <w:t>(b) in computing the individual</w:t>
      </w:r>
      <w:r w:rsidRPr="006764C1">
        <w:rPr>
          <w:rFonts w:cs="Garamond"/>
        </w:rPr>
        <w:t>’</w:t>
      </w:r>
      <w:r w:rsidRPr="006764C1">
        <w:t>s taxable income for the year</w:t>
      </w:r>
    </w:p>
    <w:p w14:paraId="1AEFEC83" w14:textId="77777777" w:rsidR="00270595" w:rsidRPr="006764C1" w:rsidRDefault="00270595" w:rsidP="00270595">
      <w:pPr>
        <w:pStyle w:val="Normal2CtrlAltM"/>
        <w:ind w:left="1440"/>
      </w:pPr>
      <w:r w:rsidRPr="006764C1">
        <w:t>exceeds</w:t>
      </w:r>
    </w:p>
    <w:p w14:paraId="01510F0C" w14:textId="77777777" w:rsidR="00270595" w:rsidRPr="006764C1" w:rsidRDefault="00270595" w:rsidP="00270595">
      <w:pPr>
        <w:pStyle w:val="Normal2CtrlAltM"/>
        <w:ind w:left="1440"/>
      </w:pPr>
      <w:r w:rsidRPr="006764C1">
        <w:rPr>
          <w:b/>
          <w:bCs/>
        </w:rPr>
        <w:t>(B)</w:t>
      </w:r>
      <w:r w:rsidRPr="006764C1">
        <w:rPr>
          <w:b/>
          <w:bCs/>
        </w:rPr>
        <w:t> </w:t>
      </w:r>
      <w:r w:rsidRPr="006764C1">
        <w:t>the amount, if any, by which the amount determined in respect of the individual for the year under paragraph 3(b) in respect of capital gains and capital losses (except any portion related to a deduction previously claimed by the individual in respect of other subject shares under this subsection or subsection 110.</w:t>
      </w:r>
      <w:r w:rsidRPr="006764C1">
        <w:rPr>
          <w:rFonts w:ascii="Times New Roman" w:hAnsi="Times New Roman" w:cs="Times New Roman"/>
        </w:rPr>
        <w:t>‍</w:t>
      </w:r>
      <w:r w:rsidRPr="006764C1">
        <w:t>61(2)) exceeds the amount determined for G.</w:t>
      </w:r>
    </w:p>
    <w:p w14:paraId="77AD87EE" w14:textId="77777777" w:rsidR="00270595" w:rsidRPr="006764C1" w:rsidRDefault="00270595" w:rsidP="006764C1">
      <w:pPr>
        <w:pStyle w:val="Normal2CtrlAltM"/>
      </w:pPr>
    </w:p>
    <w:p w14:paraId="523F8760" w14:textId="77777777" w:rsidR="00270595" w:rsidRPr="001D2206" w:rsidRDefault="00270595" w:rsidP="00270595">
      <w:pPr>
        <w:pStyle w:val="Normal2CtrlAltM"/>
        <w:keepNext/>
        <w:rPr>
          <w:b/>
          <w:bCs/>
        </w:rPr>
      </w:pPr>
      <w:r w:rsidRPr="001D2206">
        <w:rPr>
          <w:b/>
          <w:bCs/>
        </w:rPr>
        <w:t>Order of Application</w:t>
      </w:r>
    </w:p>
    <w:p w14:paraId="08642917" w14:textId="650C7349" w:rsidR="00FC52CF" w:rsidRPr="00FC52CF" w:rsidRDefault="00FC52CF" w:rsidP="00C430A4">
      <w:pPr>
        <w:pStyle w:val="Normal2CtrlAltM"/>
      </w:pPr>
      <w:r w:rsidRPr="00FC52CF">
        <w:t>(2.</w:t>
      </w:r>
      <w:r w:rsidRPr="00FC52CF">
        <w:rPr>
          <w:rFonts w:ascii="Times New Roman" w:hAnsi="Times New Roman" w:cs="Times New Roman"/>
        </w:rPr>
        <w:t>‍</w:t>
      </w:r>
      <w:r w:rsidRPr="00FC52CF">
        <w:t>1) If an individual claims more than one deduction under subsection (2) in a taxation year, the individual is to designate the order in which the deductions are claimed, and if the individual does not designate an order, the Minister may designate the order.</w:t>
      </w:r>
    </w:p>
    <w:p w14:paraId="1395574F" w14:textId="15E4DFA3" w:rsidR="006764C1" w:rsidRPr="001D2206" w:rsidRDefault="006764C1" w:rsidP="00C430A4">
      <w:pPr>
        <w:pStyle w:val="Normal2CtrlAltM"/>
        <w:rPr>
          <w:b/>
          <w:bCs/>
        </w:rPr>
      </w:pPr>
      <w:r w:rsidRPr="001D2206">
        <w:rPr>
          <w:b/>
          <w:bCs/>
        </w:rPr>
        <w:t>Disqualifying event</w:t>
      </w:r>
    </w:p>
    <w:p w14:paraId="634324A6" w14:textId="77777777" w:rsidR="006764C1" w:rsidRPr="006764C1" w:rsidRDefault="006764C1" w:rsidP="00C430A4">
      <w:pPr>
        <w:pStyle w:val="Normal2CtrlAltM"/>
      </w:pPr>
      <w:r w:rsidRPr="006764C1">
        <w:t>(3)</w:t>
      </w:r>
      <w:r w:rsidRPr="006764C1">
        <w:t> </w:t>
      </w:r>
      <w:r w:rsidRPr="006764C1">
        <w:t>For the purposes of this section, a disqualifying event in respect of a qualifying cooperative conversion occurs at the earliest of</w:t>
      </w:r>
    </w:p>
    <w:p w14:paraId="21E1E1ED" w14:textId="77777777" w:rsidR="006764C1" w:rsidRPr="006764C1" w:rsidRDefault="006764C1" w:rsidP="00C430A4">
      <w:pPr>
        <w:pStyle w:val="Normal2CtrlAltM"/>
      </w:pPr>
      <w:r w:rsidRPr="006764C1">
        <w:rPr>
          <w:b/>
          <w:bCs/>
        </w:rPr>
        <w:t>(a)</w:t>
      </w:r>
      <w:r w:rsidRPr="006764C1">
        <w:rPr>
          <w:b/>
          <w:bCs/>
        </w:rPr>
        <w:t> </w:t>
      </w:r>
      <w:r w:rsidRPr="006764C1">
        <w:t>the time when the worker cooperative that participated in the qualifying cooperative conversion ceases to be a worker cooperative, and</w:t>
      </w:r>
    </w:p>
    <w:p w14:paraId="71A510F8" w14:textId="77777777" w:rsidR="006764C1" w:rsidRPr="006764C1" w:rsidRDefault="006764C1" w:rsidP="00C430A4">
      <w:pPr>
        <w:pStyle w:val="Normal2CtrlAltM"/>
      </w:pPr>
      <w:r w:rsidRPr="006764C1">
        <w:rPr>
          <w:b/>
          <w:bCs/>
        </w:rPr>
        <w:t>(b)</w:t>
      </w:r>
      <w:r w:rsidRPr="006764C1">
        <w:rPr>
          <w:b/>
          <w:bCs/>
        </w:rPr>
        <w:t> </w:t>
      </w:r>
      <w:r w:rsidRPr="006764C1">
        <w:t>the time that is the beginning of the taxation year of the worker cooperative in which less than 50% of the fair market value of the shares of the worker cooperative is derived, directly or indirectly, from assets used principally in an active business carried on by the worker cooperative (or by a qualifying cooperative business controlled by the worker cooperative) at both that time and at the beginning of the preceding taxation year of the worker cooperative (unless the active business has ceased to be carried on at that time due to the disposition of all the assets that were used to carry on the business in order to satisfy debts owed to creditors of the worker cooperative or of the qualifying cooperative business).</w:t>
      </w:r>
    </w:p>
    <w:p w14:paraId="6488EC0F" w14:textId="77777777" w:rsidR="006764C1" w:rsidRPr="001D2206" w:rsidRDefault="006764C1" w:rsidP="00C430A4">
      <w:pPr>
        <w:pStyle w:val="Normal2CtrlAltM"/>
        <w:rPr>
          <w:rStyle w:val="Emphasis"/>
          <w:b/>
          <w:bCs/>
          <w:u w:val="none"/>
        </w:rPr>
      </w:pPr>
      <w:r w:rsidRPr="001D2206">
        <w:rPr>
          <w:rStyle w:val="Emphasis"/>
          <w:b/>
          <w:bCs/>
          <w:u w:val="none"/>
        </w:rPr>
        <w:t>Consequences of a disqualifying event</w:t>
      </w:r>
    </w:p>
    <w:p w14:paraId="73D4DFED" w14:textId="77777777" w:rsidR="006764C1" w:rsidRPr="006764C1" w:rsidRDefault="006764C1" w:rsidP="00C430A4">
      <w:pPr>
        <w:pStyle w:val="Normal2CtrlAltM"/>
      </w:pPr>
      <w:r w:rsidRPr="006764C1">
        <w:t>(4)</w:t>
      </w:r>
      <w:r w:rsidRPr="006764C1">
        <w:t> </w:t>
      </w:r>
      <w:r w:rsidRPr="006764C1">
        <w:t>If a disqualifying event in respect of a qualifying cooperative conversion occurs</w:t>
      </w:r>
    </w:p>
    <w:p w14:paraId="489F7731" w14:textId="77777777" w:rsidR="006764C1" w:rsidRPr="006764C1" w:rsidRDefault="006764C1" w:rsidP="00C430A4">
      <w:pPr>
        <w:pStyle w:val="Normal2CtrlAltM"/>
      </w:pPr>
      <w:r w:rsidRPr="006764C1">
        <w:rPr>
          <w:b/>
          <w:bCs/>
        </w:rPr>
        <w:t>(a)</w:t>
      </w:r>
      <w:r w:rsidRPr="006764C1">
        <w:rPr>
          <w:b/>
          <w:bCs/>
        </w:rPr>
        <w:t> </w:t>
      </w:r>
      <w:r w:rsidRPr="006764C1">
        <w:t>within 24 months after the disposition time for the qualifying cooperative conversion, subsection (2) is deemed to have never applied in respect of the subject shares disposed of under the qualifying cooperative conversion; or</w:t>
      </w:r>
    </w:p>
    <w:p w14:paraId="28AC6274" w14:textId="77777777" w:rsidR="006764C1" w:rsidRPr="006764C1" w:rsidRDefault="006764C1" w:rsidP="00C430A4">
      <w:pPr>
        <w:pStyle w:val="Normal2CtrlAltM"/>
      </w:pPr>
      <w:r w:rsidRPr="006764C1">
        <w:rPr>
          <w:b/>
          <w:bCs/>
        </w:rPr>
        <w:lastRenderedPageBreak/>
        <w:t>(b)</w:t>
      </w:r>
      <w:r w:rsidRPr="006764C1">
        <w:rPr>
          <w:b/>
          <w:bCs/>
        </w:rPr>
        <w:t> </w:t>
      </w:r>
      <w:r w:rsidRPr="006764C1">
        <w:t>within 8 years of the day that is 24 months after the disposition time for the qualifying cooperative conversion, in computing the income of the worker cooperative that participated in the qualifying cooperative conversion, the worker cooperative is deemed to have a gain equal to the elected amount (within the meaning of clause (1)</w:t>
      </w:r>
      <w:r w:rsidRPr="006764C1">
        <w:rPr>
          <w:rFonts w:ascii="Times New Roman" w:hAnsi="Times New Roman" w:cs="Times New Roman"/>
        </w:rPr>
        <w:t>‍</w:t>
      </w:r>
      <w:r w:rsidRPr="006764C1">
        <w:t>(e)</w:t>
      </w:r>
      <w:r w:rsidRPr="006764C1">
        <w:rPr>
          <w:rFonts w:ascii="Times New Roman" w:hAnsi="Times New Roman" w:cs="Times New Roman"/>
        </w:rPr>
        <w:t>‍</w:t>
      </w:r>
      <w:r w:rsidRPr="006764C1">
        <w:t>(ii)</w:t>
      </w:r>
      <w:r w:rsidRPr="006764C1">
        <w:rPr>
          <w:rFonts w:ascii="Times New Roman" w:hAnsi="Times New Roman" w:cs="Times New Roman"/>
        </w:rPr>
        <w:t>‍</w:t>
      </w:r>
      <w:r w:rsidRPr="006764C1">
        <w:t>(A)) included in the joint election referred to in paragraph (1)</w:t>
      </w:r>
      <w:r w:rsidRPr="006764C1">
        <w:rPr>
          <w:rFonts w:ascii="Times New Roman" w:hAnsi="Times New Roman" w:cs="Times New Roman"/>
        </w:rPr>
        <w:t>‍</w:t>
      </w:r>
      <w:r w:rsidRPr="006764C1">
        <w:t>(e), for the year in which the disqualifying event occurs, from the disposition of a capital property.</w:t>
      </w:r>
    </w:p>
    <w:p w14:paraId="7849B2D6" w14:textId="77777777" w:rsidR="006764C1" w:rsidRPr="001D2206" w:rsidRDefault="006764C1" w:rsidP="00C430A4">
      <w:pPr>
        <w:pStyle w:val="Normal2CtrlAltM"/>
        <w:rPr>
          <w:b/>
          <w:bCs/>
        </w:rPr>
      </w:pPr>
      <w:r w:rsidRPr="001D2206">
        <w:rPr>
          <w:b/>
          <w:bCs/>
        </w:rPr>
        <w:t>Anti-avoidance</w:t>
      </w:r>
    </w:p>
    <w:p w14:paraId="3E5EAC82" w14:textId="6D519FC3" w:rsidR="006764C1" w:rsidRPr="006764C1" w:rsidRDefault="006764C1" w:rsidP="00C430A4">
      <w:pPr>
        <w:pStyle w:val="Normal2CtrlAltM"/>
        <w:rPr>
          <w:b/>
          <w:bCs/>
        </w:rPr>
      </w:pPr>
      <w:r w:rsidRPr="006764C1">
        <w:rPr>
          <w:b/>
          <w:bCs/>
        </w:rPr>
        <w:t>(</w:t>
      </w:r>
      <w:r w:rsidRPr="00C430A4">
        <w:t>5)</w:t>
      </w:r>
      <w:r w:rsidRPr="00C430A4">
        <w:t> </w:t>
      </w:r>
      <w:r w:rsidRPr="00C430A4">
        <w:t>Despite any other provision in this section, subsection (2) does not apply in respect of a qualifying cooperative conversion if it is reasonable to consider that one of the</w:t>
      </w:r>
      <w:r w:rsidR="001D2206">
        <w:t xml:space="preserve"> </w:t>
      </w:r>
      <w:r w:rsidR="001D2206" w:rsidRPr="001D2206">
        <w:t xml:space="preserve">purposes of any </w:t>
      </w:r>
      <w:r w:rsidR="001D2206" w:rsidRPr="001D2206">
        <w:rPr>
          <w:i/>
          <w:iCs/>
        </w:rPr>
        <w:t>transaction</w:t>
      </w:r>
      <w:r w:rsidR="001D2206" w:rsidRPr="001D2206">
        <w:t xml:space="preserve"> (as defined in subsection 245(1)), or series of transactions, is to</w:t>
      </w:r>
    </w:p>
    <w:p w14:paraId="510CDF4D" w14:textId="77777777" w:rsidR="006764C1" w:rsidRPr="006764C1" w:rsidRDefault="006764C1" w:rsidP="00C430A4">
      <w:pPr>
        <w:pStyle w:val="Normal2CtrlAltM"/>
      </w:pPr>
      <w:r w:rsidRPr="006764C1">
        <w:rPr>
          <w:b/>
          <w:bCs/>
        </w:rPr>
        <w:t>(a)</w:t>
      </w:r>
      <w:r w:rsidRPr="006764C1">
        <w:rPr>
          <w:b/>
          <w:bCs/>
        </w:rPr>
        <w:t> </w:t>
      </w:r>
      <w:r w:rsidRPr="006764C1">
        <w:t>involve the subject corporation (or the purchaser corporation) in the qualifying cooperative conversion to accommodate the direct or indirect acquisition of subject shares (or the acquisition of all or substantially all of the risk of loss and opportunity for gain or profit in respect of the subject shares) by another person or partnership (other than the subject corporation or the purchaser corporation) in a manner that permits an individual to claim a deduction under subsection (2) that would otherwise not be available; or</w:t>
      </w:r>
    </w:p>
    <w:p w14:paraId="75DF7246" w14:textId="77777777" w:rsidR="006764C1" w:rsidRPr="006764C1" w:rsidRDefault="006764C1" w:rsidP="00C430A4">
      <w:pPr>
        <w:pStyle w:val="Normal2CtrlAltM"/>
      </w:pPr>
      <w:r w:rsidRPr="006764C1">
        <w:rPr>
          <w:b/>
          <w:bCs/>
        </w:rPr>
        <w:t>(b)</w:t>
      </w:r>
      <w:r w:rsidRPr="006764C1">
        <w:rPr>
          <w:b/>
          <w:bCs/>
        </w:rPr>
        <w:t> </w:t>
      </w:r>
      <w:r w:rsidRPr="006764C1">
        <w:t xml:space="preserve">organize or reorganize a subject corporation or any other corporation, partnership or trust in a manner that allows a deduction to be claimed under subsection (2) in respect of more than one qualifying cooperative conversion of a business that is relevant to the determination of whether subject shares satisfied the condition set out in paragraph (a) of the definition </w:t>
      </w:r>
      <w:r w:rsidRPr="006764C1">
        <w:rPr>
          <w:i/>
          <w:iCs/>
        </w:rPr>
        <w:t>qualifying cooperative conversion</w:t>
      </w:r>
      <w:r w:rsidRPr="006764C1">
        <w:t xml:space="preserve"> in subsection 248(1).</w:t>
      </w:r>
    </w:p>
    <w:p w14:paraId="182FD773" w14:textId="77777777" w:rsidR="006764C1" w:rsidRPr="001D2206" w:rsidRDefault="006764C1" w:rsidP="00C430A4">
      <w:pPr>
        <w:pStyle w:val="Normal2CtrlAltM"/>
        <w:rPr>
          <w:b/>
          <w:bCs/>
        </w:rPr>
      </w:pPr>
      <w:r w:rsidRPr="001D2206">
        <w:rPr>
          <w:b/>
          <w:bCs/>
        </w:rPr>
        <w:t>Failure to report capital gain</w:t>
      </w:r>
    </w:p>
    <w:p w14:paraId="7E691F87" w14:textId="77777777" w:rsidR="006764C1" w:rsidRPr="006764C1" w:rsidRDefault="006764C1" w:rsidP="00C430A4">
      <w:pPr>
        <w:pStyle w:val="Normal2CtrlAltM"/>
      </w:pPr>
      <w:r w:rsidRPr="006764C1">
        <w:t>(6)</w:t>
      </w:r>
      <w:r w:rsidRPr="006764C1">
        <w:t> </w:t>
      </w:r>
      <w:r w:rsidRPr="006764C1">
        <w:t>Despite subsection (2), no amount may be deducted under this section in respect of a capital gain of an individual for a particular taxation year in computing the individual’s taxable income for the particular taxation year or any subsequent year, if</w:t>
      </w:r>
    </w:p>
    <w:p w14:paraId="21EB8C8F" w14:textId="77777777" w:rsidR="006764C1" w:rsidRPr="006764C1" w:rsidRDefault="006764C1" w:rsidP="00C430A4">
      <w:pPr>
        <w:pStyle w:val="Normal2CtrlAltM"/>
      </w:pPr>
      <w:r w:rsidRPr="006764C1">
        <w:t>(a)</w:t>
      </w:r>
      <w:r w:rsidRPr="006764C1">
        <w:t> </w:t>
      </w:r>
      <w:r w:rsidRPr="006764C1">
        <w:t>the individual knowingly or under circumstances amounting to gross negligence</w:t>
      </w:r>
    </w:p>
    <w:p w14:paraId="647C1001" w14:textId="77777777" w:rsidR="006764C1" w:rsidRPr="006764C1" w:rsidRDefault="006764C1" w:rsidP="00C430A4">
      <w:pPr>
        <w:pStyle w:val="Normal3CtrlAlt"/>
      </w:pPr>
      <w:r w:rsidRPr="006764C1">
        <w:rPr>
          <w:b/>
          <w:bCs/>
        </w:rPr>
        <w:t>(i)</w:t>
      </w:r>
      <w:r w:rsidRPr="006764C1">
        <w:rPr>
          <w:b/>
          <w:bCs/>
        </w:rPr>
        <w:t> </w:t>
      </w:r>
      <w:r w:rsidRPr="006764C1">
        <w:t>fails to file the individual’s return of income for the particular taxation year within one year after the taxpayer’s filing-due date for the particular taxation year, or</w:t>
      </w:r>
    </w:p>
    <w:p w14:paraId="067EF033" w14:textId="77777777" w:rsidR="006764C1" w:rsidRPr="006764C1" w:rsidRDefault="006764C1" w:rsidP="00C430A4">
      <w:pPr>
        <w:pStyle w:val="Normal3CtrlAlt"/>
      </w:pPr>
      <w:r w:rsidRPr="006764C1">
        <w:rPr>
          <w:b/>
          <w:bCs/>
        </w:rPr>
        <w:t>(ii)</w:t>
      </w:r>
      <w:r w:rsidRPr="006764C1">
        <w:rPr>
          <w:b/>
          <w:bCs/>
        </w:rPr>
        <w:t> </w:t>
      </w:r>
      <w:r w:rsidRPr="006764C1">
        <w:t>fails to report the capital gain in the individual’s return of income for the particular taxation year; and</w:t>
      </w:r>
    </w:p>
    <w:p w14:paraId="4ED19557" w14:textId="77777777" w:rsidR="006764C1" w:rsidRPr="006764C1" w:rsidRDefault="006764C1" w:rsidP="00C430A4">
      <w:pPr>
        <w:pStyle w:val="Normal2CtrlAltM"/>
      </w:pPr>
      <w:r w:rsidRPr="006764C1">
        <w:rPr>
          <w:b/>
          <w:bCs/>
        </w:rPr>
        <w:t>(b)</w:t>
      </w:r>
      <w:r w:rsidRPr="006764C1">
        <w:rPr>
          <w:b/>
          <w:bCs/>
        </w:rPr>
        <w:t> </w:t>
      </w:r>
      <w:r w:rsidRPr="006764C1">
        <w:t>the</w:t>
      </w:r>
      <w:r w:rsidRPr="00C430A4">
        <w:t xml:space="preserve"> Minister </w:t>
      </w:r>
      <w:r w:rsidRPr="006764C1">
        <w:t>establishes the facts justifying the denial of such an amount under this section.</w:t>
      </w:r>
    </w:p>
    <w:p w14:paraId="595B0904" w14:textId="77777777" w:rsidR="006764C1" w:rsidRPr="001D2206" w:rsidRDefault="006764C1" w:rsidP="00C430A4">
      <w:pPr>
        <w:pStyle w:val="Normal2CtrlAltM"/>
        <w:rPr>
          <w:b/>
          <w:bCs/>
        </w:rPr>
      </w:pPr>
      <w:r w:rsidRPr="001D2206">
        <w:rPr>
          <w:b/>
          <w:bCs/>
        </w:rPr>
        <w:t>Deduction not permitted</w:t>
      </w:r>
    </w:p>
    <w:p w14:paraId="1475B333" w14:textId="77777777" w:rsidR="006764C1" w:rsidRPr="006764C1" w:rsidRDefault="006764C1" w:rsidP="00C430A4">
      <w:pPr>
        <w:pStyle w:val="Normal2CtrlAltM"/>
      </w:pPr>
      <w:r w:rsidRPr="006764C1">
        <w:t>(7)</w:t>
      </w:r>
      <w:r w:rsidRPr="006764C1">
        <w:t> </w:t>
      </w:r>
      <w:r w:rsidRPr="006764C1">
        <w:t>Despite subsection (2), no amount may be deducted under this section in computing an individual’s taxable income for a taxation year in respect of a capital gain of the individual for the taxation year if the capital gain is from a disposition of property which disposition is part of a series of transactions or events</w:t>
      </w:r>
    </w:p>
    <w:p w14:paraId="02686FB7" w14:textId="77777777" w:rsidR="006764C1" w:rsidRPr="006764C1" w:rsidRDefault="006764C1" w:rsidP="00CA333E">
      <w:pPr>
        <w:pStyle w:val="Normal2CtrlAltM"/>
        <w:ind w:left="1440"/>
      </w:pPr>
      <w:r w:rsidRPr="006764C1">
        <w:lastRenderedPageBreak/>
        <w:t>(a)</w:t>
      </w:r>
      <w:r w:rsidRPr="006764C1">
        <w:t> </w:t>
      </w:r>
      <w:r w:rsidRPr="006764C1">
        <w:t>that includes a dividend received by a corporation to which dividend subsection 55(2) does not apply but would apply if this Act were read without reference to paragraph 55(3)</w:t>
      </w:r>
      <w:r w:rsidRPr="006764C1">
        <w:rPr>
          <w:rFonts w:ascii="Times New Roman" w:hAnsi="Times New Roman" w:cs="Times New Roman"/>
        </w:rPr>
        <w:t>‍</w:t>
      </w:r>
      <w:r w:rsidRPr="006764C1">
        <w:t>(b); or</w:t>
      </w:r>
    </w:p>
    <w:p w14:paraId="7B927E31" w14:textId="77777777" w:rsidR="006764C1" w:rsidRPr="006764C1" w:rsidRDefault="006764C1" w:rsidP="00CA333E">
      <w:pPr>
        <w:pStyle w:val="Normal2CtrlAltM"/>
        <w:ind w:left="1440"/>
      </w:pPr>
      <w:r w:rsidRPr="006764C1">
        <w:t>(b)</w:t>
      </w:r>
      <w:r w:rsidRPr="006764C1">
        <w:t> </w:t>
      </w:r>
      <w:r w:rsidRPr="006764C1">
        <w:t>in which any property is acquired by a corporation or partnership for consideration that is significantly less than the fair market value of the property at the time of acquisition (other than an acquisition as the result of an amalgamation or merger of corporations or the winding-up of a corporation or partnership or a distribution of property of a trust in satisfaction of all or part of a corporation’s capital interest in the trust).</w:t>
      </w:r>
    </w:p>
    <w:p w14:paraId="3E001F48" w14:textId="77777777" w:rsidR="006764C1" w:rsidRPr="001D2206" w:rsidRDefault="006764C1" w:rsidP="00C430A4">
      <w:pPr>
        <w:pStyle w:val="Normal2CtrlAltM"/>
        <w:rPr>
          <w:b/>
          <w:bCs/>
        </w:rPr>
      </w:pPr>
      <w:r w:rsidRPr="001D2206">
        <w:rPr>
          <w:b/>
          <w:bCs/>
        </w:rPr>
        <w:t>Deduction not permitted</w:t>
      </w:r>
    </w:p>
    <w:p w14:paraId="25BCD2EB" w14:textId="77777777" w:rsidR="006764C1" w:rsidRPr="006764C1" w:rsidRDefault="006764C1" w:rsidP="00C430A4">
      <w:pPr>
        <w:pStyle w:val="Normal2CtrlAltM"/>
      </w:pPr>
      <w:r w:rsidRPr="006764C1">
        <w:t>(8)</w:t>
      </w:r>
      <w:r w:rsidRPr="006764C1">
        <w:t> </w:t>
      </w:r>
      <w:r w:rsidRPr="006764C1">
        <w:t>Despite subsection (2), if an individual has a capital gain for a taxation year from the disposition of a property and it can reasonably be concluded, having regard to all the circumstances, that a significant part of the capital gain is attributable to the fact that dividends were not paid on a share (other than a prescribed share within the meaning of subsection 110.</w:t>
      </w:r>
      <w:r w:rsidRPr="006764C1">
        <w:rPr>
          <w:rFonts w:ascii="Times New Roman" w:hAnsi="Times New Roman" w:cs="Times New Roman"/>
        </w:rPr>
        <w:t>‍</w:t>
      </w:r>
      <w:r w:rsidRPr="006764C1">
        <w:t>6(8)) or that dividends paid on such a share in the taxation year or in any preceding taxation year were less than 90% of the average annual rate of return on that share for that year, no amount in respect of that capital gain shall be deducted under this section in computing the individual’s taxable income for the year.</w:t>
      </w:r>
    </w:p>
    <w:p w14:paraId="57F438F7" w14:textId="77777777" w:rsidR="006764C1" w:rsidRPr="001D2206" w:rsidRDefault="006764C1" w:rsidP="00CA333E">
      <w:pPr>
        <w:pStyle w:val="Normal2CtrlAltM"/>
        <w:keepNext/>
        <w:rPr>
          <w:b/>
          <w:bCs/>
        </w:rPr>
      </w:pPr>
      <w:r w:rsidRPr="001D2206">
        <w:rPr>
          <w:b/>
          <w:bCs/>
        </w:rPr>
        <w:t>Average annual rate of return</w:t>
      </w:r>
    </w:p>
    <w:p w14:paraId="4F3A5364" w14:textId="77777777" w:rsidR="006764C1" w:rsidRPr="006764C1" w:rsidRDefault="006764C1" w:rsidP="00C430A4">
      <w:pPr>
        <w:pStyle w:val="Normal2CtrlAltM"/>
        <w:rPr>
          <w:b/>
          <w:bCs/>
        </w:rPr>
      </w:pPr>
      <w:r w:rsidRPr="006764C1">
        <w:rPr>
          <w:b/>
          <w:bCs/>
        </w:rPr>
        <w:t>(</w:t>
      </w:r>
      <w:r w:rsidRPr="00C430A4">
        <w:t>9)</w:t>
      </w:r>
      <w:r w:rsidRPr="00C430A4">
        <w:t> </w:t>
      </w:r>
      <w:r w:rsidRPr="00C430A4">
        <w:t>For the purpose of subsection (8), the average annual rate of return on a share (other than a prescribed share within the meaning of subsection 110.</w:t>
      </w:r>
      <w:r w:rsidRPr="00C430A4">
        <w:rPr>
          <w:rFonts w:ascii="Times New Roman" w:hAnsi="Times New Roman" w:cs="Times New Roman"/>
        </w:rPr>
        <w:t>‍</w:t>
      </w:r>
      <w:r w:rsidRPr="00C430A4">
        <w:t>6(8)) of a corporation for a taxation year is the annual rate of return by way of dividends that a knowledgeable and prudent investor who purchased the share on the day it was issued would expect to receive in that year, other than the first year after the issue, in respect of the share if</w:t>
      </w:r>
    </w:p>
    <w:p w14:paraId="0B9E003E" w14:textId="77777777" w:rsidR="006764C1" w:rsidRPr="006764C1" w:rsidRDefault="006764C1" w:rsidP="00CA333E">
      <w:pPr>
        <w:pStyle w:val="Normal2CtrlAltM"/>
        <w:ind w:left="1440"/>
      </w:pPr>
      <w:r w:rsidRPr="006764C1">
        <w:rPr>
          <w:b/>
          <w:bCs/>
        </w:rPr>
        <w:t>(a)</w:t>
      </w:r>
      <w:r w:rsidRPr="006764C1">
        <w:rPr>
          <w:b/>
          <w:bCs/>
        </w:rPr>
        <w:t> </w:t>
      </w:r>
      <w:r w:rsidRPr="006764C1">
        <w:t>there was no delay or postponement of the payment of dividends and no failure to pay dividends in respect of the share;</w:t>
      </w:r>
    </w:p>
    <w:p w14:paraId="477C06FE" w14:textId="77777777" w:rsidR="006764C1" w:rsidRPr="006764C1" w:rsidRDefault="006764C1" w:rsidP="00CA333E">
      <w:pPr>
        <w:pStyle w:val="Normal2CtrlAltM"/>
        <w:ind w:left="1440"/>
      </w:pPr>
      <w:r w:rsidRPr="006764C1">
        <w:rPr>
          <w:b/>
          <w:bCs/>
        </w:rPr>
        <w:t>(b)</w:t>
      </w:r>
      <w:r w:rsidRPr="006764C1">
        <w:rPr>
          <w:b/>
          <w:bCs/>
        </w:rPr>
        <w:t> </w:t>
      </w:r>
      <w:r w:rsidRPr="006764C1">
        <w:t>there was no variation from year to year in the amount of dividends payable in respect of the share (other than where the amount of dividends payable is expressed as an invariant percentage of or by reference to an invariant difference between the dividend expressed as a rate of interest and a generally quoted market interest rate); and</w:t>
      </w:r>
    </w:p>
    <w:p w14:paraId="7C250826" w14:textId="77777777" w:rsidR="006764C1" w:rsidRPr="006764C1" w:rsidRDefault="006764C1" w:rsidP="00CA333E">
      <w:pPr>
        <w:pStyle w:val="Normal2CtrlAltM"/>
        <w:ind w:left="1440"/>
      </w:pPr>
      <w:r w:rsidRPr="006764C1">
        <w:rPr>
          <w:b/>
          <w:bCs/>
        </w:rPr>
        <w:t>(c)</w:t>
      </w:r>
      <w:r w:rsidRPr="006764C1">
        <w:rPr>
          <w:b/>
          <w:bCs/>
        </w:rPr>
        <w:t> </w:t>
      </w:r>
      <w:r w:rsidRPr="006764C1">
        <w:t>the proceeds to be received by the investor on the disposition of the share are the same amount the corporation received as consideration on the issue of the share.</w:t>
      </w:r>
    </w:p>
    <w:p w14:paraId="33B69DC1" w14:textId="77777777" w:rsidR="006764C1" w:rsidRPr="006764C1" w:rsidRDefault="006764C1" w:rsidP="00C430A4">
      <w:pPr>
        <w:pStyle w:val="Normal2CtrlAltM"/>
        <w:rPr>
          <w:b/>
          <w:bCs/>
        </w:rPr>
      </w:pPr>
      <w:r w:rsidRPr="006764C1">
        <w:rPr>
          <w:b/>
          <w:bCs/>
        </w:rPr>
        <w:t>Deduction not permitted</w:t>
      </w:r>
    </w:p>
    <w:p w14:paraId="7FCECA01" w14:textId="77777777" w:rsidR="006764C1" w:rsidRPr="006764C1" w:rsidRDefault="006764C1" w:rsidP="00C430A4">
      <w:pPr>
        <w:pStyle w:val="Normal2CtrlAltM"/>
      </w:pPr>
      <w:r w:rsidRPr="006764C1">
        <w:t>(10)</w:t>
      </w:r>
      <w:r w:rsidRPr="006764C1">
        <w:t> </w:t>
      </w:r>
      <w:r w:rsidRPr="006764C1">
        <w:t xml:space="preserve">If it is reasonable to consider that one of the main reasons for an individual acquiring, holding or having an interest in a partnership or trust (other than an interest in a personal trust) or for the existence of any terms, conditions, rights or other attributes of the interest is to enable the individual to receive or have allocated to the individual a percentage of any capital gain or taxable capital gain of the partnership or trust that is larger than the </w:t>
      </w:r>
      <w:r w:rsidRPr="006764C1">
        <w:lastRenderedPageBreak/>
        <w:t>individual’s percentage of the income of the partnership or trust, as the case may be, despite any other provision of this Act, no amount may be deducted under subsection (2) by the individual in respect of any such gain allocated or distributed to the individual.</w:t>
      </w:r>
    </w:p>
    <w:p w14:paraId="3B2880D9" w14:textId="77777777" w:rsidR="006764C1" w:rsidRPr="001D2206" w:rsidRDefault="006764C1" w:rsidP="00C430A4">
      <w:pPr>
        <w:pStyle w:val="Normal2CtrlAltM"/>
        <w:rPr>
          <w:b/>
          <w:bCs/>
        </w:rPr>
      </w:pPr>
      <w:r w:rsidRPr="001D2206">
        <w:rPr>
          <w:b/>
          <w:bCs/>
        </w:rPr>
        <w:t>Related persons, etc.</w:t>
      </w:r>
    </w:p>
    <w:p w14:paraId="1BE3E1AC" w14:textId="77777777" w:rsidR="006764C1" w:rsidRPr="006764C1" w:rsidRDefault="006764C1" w:rsidP="00C430A4">
      <w:pPr>
        <w:pStyle w:val="Normal2CtrlAltM"/>
      </w:pPr>
      <w:r w:rsidRPr="006764C1">
        <w:t>(11)</w:t>
      </w:r>
      <w:r w:rsidRPr="006764C1">
        <w:t> </w:t>
      </w:r>
      <w:r w:rsidRPr="006764C1">
        <w:t>For the purposes of this section,</w:t>
      </w:r>
    </w:p>
    <w:p w14:paraId="105538FD" w14:textId="77777777" w:rsidR="006764C1" w:rsidRPr="006764C1" w:rsidRDefault="006764C1" w:rsidP="00CA333E">
      <w:pPr>
        <w:pStyle w:val="Normal2CtrlAltM"/>
        <w:ind w:left="1440"/>
      </w:pPr>
      <w:r w:rsidRPr="006764C1">
        <w:t>(a)</w:t>
      </w:r>
      <w:r w:rsidRPr="006764C1">
        <w:t> </w:t>
      </w:r>
      <w:r w:rsidRPr="006764C1">
        <w:t>a taxpayer is deemed to have disposed of shares that are identical properties in the order in which the taxpayer acquired them;</w:t>
      </w:r>
    </w:p>
    <w:p w14:paraId="3077E98C" w14:textId="77777777" w:rsidR="006764C1" w:rsidRPr="006764C1" w:rsidRDefault="006764C1" w:rsidP="00CA333E">
      <w:pPr>
        <w:pStyle w:val="Normal2CtrlAltM"/>
        <w:ind w:left="1440"/>
      </w:pPr>
      <w:r w:rsidRPr="006764C1">
        <w:t>(b)</w:t>
      </w:r>
      <w:r w:rsidRPr="006764C1">
        <w:t> </w:t>
      </w:r>
      <w:r w:rsidRPr="006764C1">
        <w:t>a personal trust is deemed</w:t>
      </w:r>
    </w:p>
    <w:p w14:paraId="03477D13" w14:textId="77777777" w:rsidR="006764C1" w:rsidRPr="006764C1" w:rsidRDefault="006764C1" w:rsidP="00CA333E">
      <w:pPr>
        <w:pStyle w:val="Normal3CtrlAlt"/>
        <w:ind w:left="2160"/>
      </w:pPr>
      <w:r w:rsidRPr="006764C1">
        <w:rPr>
          <w:b/>
          <w:bCs/>
        </w:rPr>
        <w:t>(i)</w:t>
      </w:r>
      <w:r w:rsidRPr="006764C1">
        <w:rPr>
          <w:b/>
          <w:bCs/>
        </w:rPr>
        <w:t> </w:t>
      </w:r>
      <w:r w:rsidRPr="006764C1">
        <w:t>to be related to a person or partnership for any period throughout which the person or partnership was a beneficiary of the trust, and</w:t>
      </w:r>
    </w:p>
    <w:p w14:paraId="6895F3E1" w14:textId="77777777" w:rsidR="006764C1" w:rsidRPr="006764C1" w:rsidRDefault="006764C1" w:rsidP="00CA333E">
      <w:pPr>
        <w:pStyle w:val="Normal3CtrlAlt"/>
        <w:ind w:left="2160"/>
      </w:pPr>
      <w:r w:rsidRPr="006764C1">
        <w:rPr>
          <w:b/>
          <w:bCs/>
        </w:rPr>
        <w:t>(ii)</w:t>
      </w:r>
      <w:r w:rsidRPr="006764C1">
        <w:rPr>
          <w:b/>
          <w:bCs/>
        </w:rPr>
        <w:t> </w:t>
      </w:r>
      <w:r w:rsidRPr="006764C1">
        <w:t>in respect of shares of the capital stock of a corporation, to be related to the person from whom it acquired those shares if, at the time the trust disposed of the shares, all of the beneficiaries (other than registered charities) of the trust were related to that person or would have been so related if that person were living at that time;</w:t>
      </w:r>
    </w:p>
    <w:p w14:paraId="5BB9DE7F" w14:textId="77777777" w:rsidR="006764C1" w:rsidRPr="006764C1" w:rsidRDefault="006764C1" w:rsidP="00CA333E">
      <w:pPr>
        <w:pStyle w:val="Normal2CtrlAltM"/>
        <w:ind w:left="1440"/>
      </w:pPr>
      <w:r w:rsidRPr="006764C1">
        <w:rPr>
          <w:b/>
          <w:bCs/>
        </w:rPr>
        <w:t>(c)</w:t>
      </w:r>
      <w:r w:rsidRPr="006764C1">
        <w:rPr>
          <w:b/>
          <w:bCs/>
        </w:rPr>
        <w:t> </w:t>
      </w:r>
      <w:r w:rsidRPr="006764C1">
        <w:t>a spouse or common-law partner of a particular individual includes another individual who was a spouse or common-law partner of the particular individual immediately before the death of the other individual;</w:t>
      </w:r>
    </w:p>
    <w:p w14:paraId="0499A43A" w14:textId="77777777" w:rsidR="006764C1" w:rsidRPr="006764C1" w:rsidRDefault="006764C1" w:rsidP="00CA333E">
      <w:pPr>
        <w:pStyle w:val="Normal2CtrlAltM"/>
        <w:ind w:left="1440"/>
      </w:pPr>
      <w:r w:rsidRPr="006764C1">
        <w:rPr>
          <w:b/>
          <w:bCs/>
        </w:rPr>
        <w:t>(d)</w:t>
      </w:r>
      <w:r w:rsidRPr="006764C1">
        <w:rPr>
          <w:b/>
          <w:bCs/>
        </w:rPr>
        <w:t> </w:t>
      </w:r>
      <w:r w:rsidRPr="006764C1">
        <w:t>a partnership is deemed to be related to a person for any period throughout which the person was a member of the partnership;</w:t>
      </w:r>
    </w:p>
    <w:p w14:paraId="153E02BD" w14:textId="77777777" w:rsidR="006764C1" w:rsidRPr="006764C1" w:rsidRDefault="006764C1" w:rsidP="00CA333E">
      <w:pPr>
        <w:pStyle w:val="Normal2CtrlAltM"/>
        <w:ind w:left="1440"/>
      </w:pPr>
      <w:r w:rsidRPr="006764C1">
        <w:rPr>
          <w:b/>
          <w:bCs/>
        </w:rPr>
        <w:t>(e)</w:t>
      </w:r>
      <w:r w:rsidRPr="006764C1">
        <w:rPr>
          <w:b/>
          <w:bCs/>
        </w:rPr>
        <w:t> </w:t>
      </w:r>
      <w:r w:rsidRPr="006764C1">
        <w:t>a person who is a member of a partnership that is a member of another partnership is deemed to be a member of the other partnership;</w:t>
      </w:r>
    </w:p>
    <w:p w14:paraId="06FBD2F2" w14:textId="77777777" w:rsidR="006764C1" w:rsidRPr="006764C1" w:rsidRDefault="006764C1" w:rsidP="00CA333E">
      <w:pPr>
        <w:pStyle w:val="Normal2CtrlAltM"/>
        <w:ind w:left="1440"/>
      </w:pPr>
      <w:r w:rsidRPr="006764C1">
        <w:rPr>
          <w:b/>
          <w:bCs/>
        </w:rPr>
        <w:t>(f)</w:t>
      </w:r>
      <w:r w:rsidRPr="006764C1">
        <w:rPr>
          <w:b/>
          <w:bCs/>
        </w:rPr>
        <w:t> </w:t>
      </w:r>
      <w:r w:rsidRPr="006764C1">
        <w:t>if a corporation acquires shares of a class of the capital stock of another corporation from any person, it is deemed in respect of those shares to be related to the person if all or substantially all the consideration received by that person from the corporation in respect of those shares was common shares of the capital stock of the corporation; and</w:t>
      </w:r>
    </w:p>
    <w:p w14:paraId="05D84FEE" w14:textId="77777777" w:rsidR="006764C1" w:rsidRPr="006764C1" w:rsidRDefault="006764C1" w:rsidP="00CA333E">
      <w:pPr>
        <w:pStyle w:val="Normal2CtrlAltM"/>
        <w:ind w:left="1440"/>
      </w:pPr>
      <w:r w:rsidRPr="006764C1">
        <w:rPr>
          <w:b/>
          <w:bCs/>
        </w:rPr>
        <w:t>(g)</w:t>
      </w:r>
      <w:r w:rsidRPr="006764C1">
        <w:rPr>
          <w:b/>
          <w:bCs/>
        </w:rPr>
        <w:t> </w:t>
      </w:r>
      <w:r w:rsidRPr="006764C1">
        <w:t>shares issued by a corporation to a particular person or partnership are deemed to have been owned immediately before their issue by a person who was not related to the particular person or partnership unless the shares were issued</w:t>
      </w:r>
    </w:p>
    <w:p w14:paraId="567F11E9" w14:textId="77777777" w:rsidR="006764C1" w:rsidRPr="006764C1" w:rsidRDefault="006764C1" w:rsidP="00CA333E">
      <w:pPr>
        <w:pStyle w:val="Normal3CtrlAlt"/>
        <w:ind w:left="2160"/>
      </w:pPr>
      <w:r w:rsidRPr="006764C1">
        <w:rPr>
          <w:b/>
          <w:bCs/>
        </w:rPr>
        <w:t>(i)</w:t>
      </w:r>
      <w:r w:rsidRPr="006764C1">
        <w:rPr>
          <w:b/>
          <w:bCs/>
        </w:rPr>
        <w:t> </w:t>
      </w:r>
      <w:r w:rsidRPr="006764C1">
        <w:t>as consideration for other shares,</w:t>
      </w:r>
    </w:p>
    <w:p w14:paraId="63DEF72D" w14:textId="77777777" w:rsidR="006764C1" w:rsidRPr="006764C1" w:rsidRDefault="006764C1" w:rsidP="00CA333E">
      <w:pPr>
        <w:pStyle w:val="Normal3CtrlAlt"/>
        <w:ind w:left="2160"/>
      </w:pPr>
      <w:r w:rsidRPr="006764C1">
        <w:rPr>
          <w:b/>
          <w:bCs/>
        </w:rPr>
        <w:t>(ii)</w:t>
      </w:r>
      <w:r w:rsidRPr="006764C1">
        <w:rPr>
          <w:b/>
          <w:bCs/>
        </w:rPr>
        <w:t> </w:t>
      </w:r>
      <w:r w:rsidRPr="006764C1">
        <w:t>as part of a transaction or series of transactions in which the person or partnership disposed of property to the corporation that consisted of</w:t>
      </w:r>
    </w:p>
    <w:p w14:paraId="7BBD69E3" w14:textId="77777777" w:rsidR="006764C1" w:rsidRPr="006764C1" w:rsidRDefault="006764C1" w:rsidP="00CA333E">
      <w:pPr>
        <w:pStyle w:val="Normal4CtrlAlt"/>
        <w:ind w:left="2880"/>
      </w:pPr>
      <w:r w:rsidRPr="006764C1">
        <w:rPr>
          <w:b/>
          <w:bCs/>
        </w:rPr>
        <w:t>(A)</w:t>
      </w:r>
      <w:r w:rsidRPr="006764C1">
        <w:rPr>
          <w:b/>
          <w:bCs/>
        </w:rPr>
        <w:t> </w:t>
      </w:r>
      <w:r w:rsidRPr="006764C1">
        <w:t>all or substantially all the assets used in an active business carried on by that person or the members of that partnership, or</w:t>
      </w:r>
    </w:p>
    <w:p w14:paraId="2C9422ED" w14:textId="77777777" w:rsidR="006764C1" w:rsidRPr="006764C1" w:rsidRDefault="006764C1" w:rsidP="00CA333E">
      <w:pPr>
        <w:pStyle w:val="Normal4CtrlAlt"/>
        <w:ind w:left="2880"/>
      </w:pPr>
      <w:r w:rsidRPr="006764C1">
        <w:rPr>
          <w:b/>
          <w:bCs/>
        </w:rPr>
        <w:lastRenderedPageBreak/>
        <w:t>(B)</w:t>
      </w:r>
      <w:r w:rsidRPr="006764C1">
        <w:rPr>
          <w:b/>
          <w:bCs/>
        </w:rPr>
        <w:t> </w:t>
      </w:r>
      <w:r w:rsidRPr="006764C1">
        <w:t>an interest in a partnership all or substantially all the assets of which were used in an active business carried on by the members of the partnership, or</w:t>
      </w:r>
    </w:p>
    <w:p w14:paraId="4A0CA282" w14:textId="77777777" w:rsidR="006764C1" w:rsidRPr="006764C1" w:rsidRDefault="006764C1" w:rsidP="00CA333E">
      <w:pPr>
        <w:pStyle w:val="Normal3CtrlAlt"/>
        <w:ind w:left="2160"/>
      </w:pPr>
      <w:r w:rsidRPr="006764C1">
        <w:rPr>
          <w:b/>
          <w:bCs/>
        </w:rPr>
        <w:t>(iii)</w:t>
      </w:r>
      <w:r w:rsidRPr="006764C1">
        <w:rPr>
          <w:b/>
          <w:bCs/>
        </w:rPr>
        <w:t> </w:t>
      </w:r>
      <w:r w:rsidRPr="006764C1">
        <w:t>as payment of a stock dividend.</w:t>
      </w:r>
    </w:p>
    <w:p w14:paraId="063AEEA7" w14:textId="258ED97A" w:rsidR="006764C1" w:rsidRDefault="00C430A4" w:rsidP="004167E5">
      <w:pPr>
        <w:pStyle w:val="Heading1"/>
      </w:pPr>
      <w:r>
        <w:t>ITA section 248(1)</w:t>
      </w:r>
    </w:p>
    <w:p w14:paraId="3B88F551" w14:textId="77777777" w:rsidR="00C430A4" w:rsidRDefault="00C430A4" w:rsidP="00C430A4">
      <w:pPr>
        <w:pStyle w:val="Normal2CtrlAltM"/>
      </w:pPr>
      <w:r>
        <w:t>Subsection 248(1) of the Act is amended by adding the following in alphabetical order:</w:t>
      </w:r>
    </w:p>
    <w:p w14:paraId="4BACF035" w14:textId="77777777" w:rsidR="00C430A4" w:rsidRDefault="00C430A4" w:rsidP="00C430A4">
      <w:pPr>
        <w:pStyle w:val="Normal2CtrlAltM"/>
      </w:pPr>
      <w:r w:rsidRPr="00CA333E">
        <w:rPr>
          <w:b/>
          <w:bCs/>
        </w:rPr>
        <w:t>qualifying cooperative business</w:t>
      </w:r>
      <w:r w:rsidRPr="00CA333E">
        <w:t xml:space="preserve">, </w:t>
      </w:r>
      <w:r>
        <w:t>at a particular time, means a corporation, controlled by a worker cooperative,</w:t>
      </w:r>
    </w:p>
    <w:p w14:paraId="3025D47A" w14:textId="77777777" w:rsidR="00C430A4" w:rsidRDefault="00C430A4" w:rsidP="00C430A4">
      <w:pPr>
        <w:pStyle w:val="Normal2CtrlAltM"/>
      </w:pPr>
      <w:r>
        <w:t xml:space="preserve">    (a) that is a Canadian-controlled private corporation,</w:t>
      </w:r>
    </w:p>
    <w:p w14:paraId="7B1BCAC5" w14:textId="77777777" w:rsidR="00C430A4" w:rsidRDefault="00C430A4" w:rsidP="00C430A4">
      <w:pPr>
        <w:pStyle w:val="Normal2CtrlAltM"/>
      </w:pPr>
      <w:r>
        <w:t xml:space="preserve">    (b) of which not more than 40% of the directors consist of individuals that, immediately before the time that the worker cooperative acquired control of the corporation, owned, directly or indirectly, together with any person or partnership that is related to or affiliated with the director, 50% or more of the fair market value of the shares of the capital stock or indebtedness of the corporation, and</w:t>
      </w:r>
    </w:p>
    <w:p w14:paraId="2D22F8BF" w14:textId="49945586" w:rsidR="00C430A4" w:rsidRDefault="00C430A4" w:rsidP="00C430A4">
      <w:pPr>
        <w:pStyle w:val="Normal2CtrlAltM"/>
      </w:pPr>
      <w:r>
        <w:t xml:space="preserve">    (c) that deals at arm’s length and is not affiliated with any person (other than a subject corporation referred to in paragraph (a) of the definition “qualifying cooperative conversion” that controlled and wholly-owned the corporation immediately before the time the worker cooperative acquired control of the corporation) or partnership that owned, directly or indirectly, 50% or more of the fair market value of the shares of the capital stock or indebtedness of the corporation immediately before the time the worker cooperative acquired control of the corporation;</w:t>
      </w:r>
    </w:p>
    <w:p w14:paraId="66312336" w14:textId="77777777" w:rsidR="00C430A4" w:rsidRDefault="00C430A4" w:rsidP="00C430A4">
      <w:pPr>
        <w:pStyle w:val="Normal2CtrlAltM"/>
      </w:pPr>
      <w:r w:rsidRPr="00CA333E">
        <w:rPr>
          <w:b/>
          <w:bCs/>
        </w:rPr>
        <w:t>qualifying cooperative conversion</w:t>
      </w:r>
      <w:r>
        <w:t> means a disposition by a taxpayer of shares of the capital stock of a corporation (in this definition referred to as the “subject corporation”) to another corporation (in this definition referred to as the “purchaser corporation”), if</w:t>
      </w:r>
    </w:p>
    <w:p w14:paraId="322FB108" w14:textId="77777777" w:rsidR="00C430A4" w:rsidRDefault="00C430A4" w:rsidP="00C430A4">
      <w:pPr>
        <w:pStyle w:val="Normal2CtrlAltM"/>
      </w:pPr>
      <w:r>
        <w:t xml:space="preserve">    (a) immediately before the disposition, all or substantially all the fair market value of the assets of the subject corporation is derived, directly or indirectly, from assets (other than an interest in a partnership) that are used principally in an active business carried on by the subject corporation or a corporation that is controlled and wholly-owned by the subject corporation,</w:t>
      </w:r>
    </w:p>
    <w:p w14:paraId="3221FAF0" w14:textId="77777777" w:rsidR="00C430A4" w:rsidRDefault="00C430A4" w:rsidP="00C430A4">
      <w:pPr>
        <w:pStyle w:val="Normal2CtrlAltM"/>
      </w:pPr>
      <w:r>
        <w:t xml:space="preserve">    (b) at the time of the disposition,</w:t>
      </w:r>
    </w:p>
    <w:p w14:paraId="319F25C5" w14:textId="77777777" w:rsidR="00C430A4" w:rsidRDefault="00C430A4" w:rsidP="00C430A4">
      <w:pPr>
        <w:pStyle w:val="Normal2CtrlAltM"/>
      </w:pPr>
      <w:r>
        <w:t xml:space="preserve">        (i) the taxpayer deals at arm’s length with the purchaser corporation,</w:t>
      </w:r>
    </w:p>
    <w:p w14:paraId="515EC8C8" w14:textId="77777777" w:rsidR="00C430A4" w:rsidRDefault="00C430A4" w:rsidP="00C430A4">
      <w:pPr>
        <w:pStyle w:val="Normal2CtrlAltM"/>
      </w:pPr>
      <w:r>
        <w:t xml:space="preserve">        (ii) the purchaser corporation acquires control of the subject corporation, and</w:t>
      </w:r>
    </w:p>
    <w:p w14:paraId="6C209275" w14:textId="77777777" w:rsidR="00C430A4" w:rsidRDefault="00C430A4" w:rsidP="00C430A4">
      <w:pPr>
        <w:pStyle w:val="Normal2CtrlAltM"/>
      </w:pPr>
      <w:r>
        <w:t xml:space="preserve">        (iii) the purchaser corporation is a worker cooperative, and</w:t>
      </w:r>
    </w:p>
    <w:p w14:paraId="389F9029" w14:textId="77777777" w:rsidR="00C430A4" w:rsidRDefault="00C430A4" w:rsidP="00C430A4">
      <w:pPr>
        <w:pStyle w:val="Normal2CtrlAltM"/>
      </w:pPr>
    </w:p>
    <w:p w14:paraId="5C6A3FE5" w14:textId="77777777" w:rsidR="00C430A4" w:rsidRDefault="00C430A4" w:rsidP="00C430A4">
      <w:pPr>
        <w:pStyle w:val="Normal2CtrlAltM"/>
      </w:pPr>
      <w:r>
        <w:t xml:space="preserve">    (c) at all times after the disposition,</w:t>
      </w:r>
    </w:p>
    <w:p w14:paraId="013B4423" w14:textId="77777777" w:rsidR="00C430A4" w:rsidRDefault="00C430A4" w:rsidP="00C430A4">
      <w:pPr>
        <w:pStyle w:val="Normal2CtrlAltM"/>
      </w:pPr>
      <w:r>
        <w:lastRenderedPageBreak/>
        <w:t xml:space="preserve">        (i) the taxpayer deals at arm’s length with the purchaser corporation and subject corporation, and</w:t>
      </w:r>
    </w:p>
    <w:p w14:paraId="0DE886FF" w14:textId="77777777" w:rsidR="00C430A4" w:rsidRDefault="00C430A4" w:rsidP="00C430A4">
      <w:pPr>
        <w:pStyle w:val="Normal2CtrlAltM"/>
      </w:pPr>
      <w:r>
        <w:t xml:space="preserve">        (ii) the taxpayer does not retain any right or influence that, if exercised, would allow the taxpayer (whether alone or together with any person or partnership that is related to or affiliated with the taxpayer) to control, directly or indirectly in any manner whatever, the purchaser corporation or subject corporation; (conversion admissible de coopérative)</w:t>
      </w:r>
    </w:p>
    <w:p w14:paraId="1CD0F671" w14:textId="77777777" w:rsidR="00C430A4" w:rsidRDefault="00C430A4" w:rsidP="00C430A4">
      <w:pPr>
        <w:pStyle w:val="Normal2CtrlAltM"/>
      </w:pPr>
      <w:r w:rsidRPr="00CA333E">
        <w:rPr>
          <w:b/>
          <w:bCs/>
        </w:rPr>
        <w:t>qualifying cooperative worker</w:t>
      </w:r>
      <w:r>
        <w:t> means an individual who</w:t>
      </w:r>
    </w:p>
    <w:p w14:paraId="4BD95E9E" w14:textId="77777777" w:rsidR="00C430A4" w:rsidRDefault="00C430A4" w:rsidP="00C430A4">
      <w:pPr>
        <w:pStyle w:val="Normal2CtrlAltM"/>
      </w:pPr>
      <w:r>
        <w:t xml:space="preserve">    (a) holds a membership share of a corporation that was incorporated or continued by or under the provisions of a law, of Canada or of a province, that provide for the establishment of the corporation as a cooperative corporation or that provide for the establishment of cooperative corporations,</w:t>
      </w:r>
    </w:p>
    <w:p w14:paraId="0F10DC57" w14:textId="77777777" w:rsidR="00C430A4" w:rsidRDefault="00C430A4" w:rsidP="00C430A4">
      <w:pPr>
        <w:pStyle w:val="Normal2CtrlAltM"/>
      </w:pPr>
      <w:r>
        <w:t xml:space="preserve">    (b) is an employee of the corporation or a qualifying cooperative business controlled by the corporation,</w:t>
      </w:r>
    </w:p>
    <w:p w14:paraId="33BDF2A9" w14:textId="77777777" w:rsidR="00C430A4" w:rsidRDefault="00C430A4" w:rsidP="00C430A4">
      <w:pPr>
        <w:pStyle w:val="Normal2CtrlAltM"/>
      </w:pPr>
      <w:r>
        <w:t xml:space="preserve">    (c) does not represent, together with any person or partnership that is related to or affiliated with the individual, more than 50% of the members of the worker cooperative,</w:t>
      </w:r>
    </w:p>
    <w:p w14:paraId="08F9D24E" w14:textId="77777777" w:rsidR="00C430A4" w:rsidRDefault="00C430A4" w:rsidP="00C430A4">
      <w:pPr>
        <w:pStyle w:val="Normal2CtrlAltM"/>
      </w:pPr>
      <w:r>
        <w:t xml:space="preserve">    (d) immediately before the time of a qualifying cooperative conversion that involved the corporation, did not own, directly or indirectly, together with any person or partnership that is related to or affiliated with the individual, shares of the capital stock or indebtedness of the corporation or a qualifying cooperative business controlled by the corporation, the value of which is equal to or greater than 50% of the fair market value of the shares of the capital stock and indebtedness of the corporation or the qualifying cooperative business controlled by the corporation, and</w:t>
      </w:r>
    </w:p>
    <w:p w14:paraId="3C571152" w14:textId="77777777" w:rsidR="00C430A4" w:rsidRDefault="00C430A4" w:rsidP="00C430A4">
      <w:pPr>
        <w:pStyle w:val="Normal2CtrlAltM"/>
      </w:pPr>
      <w:r>
        <w:t xml:space="preserve">    (e) has not claimed, and is not related to an individual who claimed, a deduction under subsection 110.</w:t>
      </w:r>
      <w:r>
        <w:rPr>
          <w:rFonts w:ascii="Times New Roman" w:hAnsi="Times New Roman" w:cs="Times New Roman"/>
        </w:rPr>
        <w:t>‍</w:t>
      </w:r>
      <w:r>
        <w:t>62(2) in respect of a disposition of shares of the corporation or a qualifying cooperative business controlled by the corporation; (</w:t>
      </w:r>
      <w:proofErr w:type="spellStart"/>
      <w:r>
        <w:t>travailleur</w:t>
      </w:r>
      <w:proofErr w:type="spellEnd"/>
      <w:r>
        <w:t xml:space="preserve"> admissible de </w:t>
      </w:r>
      <w:proofErr w:type="spellStart"/>
      <w:r>
        <w:t>coop</w:t>
      </w:r>
      <w:r>
        <w:rPr>
          <w:rFonts w:cs="Garamond"/>
        </w:rPr>
        <w:t>é</w:t>
      </w:r>
      <w:r>
        <w:t>rative</w:t>
      </w:r>
      <w:proofErr w:type="spellEnd"/>
      <w:r>
        <w:t>)</w:t>
      </w:r>
    </w:p>
    <w:p w14:paraId="04D8085F" w14:textId="77777777" w:rsidR="00C430A4" w:rsidRDefault="00C430A4" w:rsidP="00C430A4">
      <w:pPr>
        <w:pStyle w:val="Normal2CtrlAltM"/>
      </w:pPr>
      <w:r>
        <w:t>w</w:t>
      </w:r>
      <w:r w:rsidRPr="00C430A4">
        <w:rPr>
          <w:b/>
          <w:bCs/>
        </w:rPr>
        <w:t>orker cooperative</w:t>
      </w:r>
      <w:r>
        <w:t> means a corporation that, at all relevant times, satisfies the following conditions:</w:t>
      </w:r>
    </w:p>
    <w:p w14:paraId="37D64CC1" w14:textId="77777777" w:rsidR="00C430A4" w:rsidRDefault="00C430A4" w:rsidP="00C430A4">
      <w:pPr>
        <w:pStyle w:val="Normal2CtrlAltM"/>
      </w:pPr>
      <w:r>
        <w:t xml:space="preserve">    (a) the corporation is resident in Canada,</w:t>
      </w:r>
    </w:p>
    <w:p w14:paraId="6CFCAAB1" w14:textId="77777777" w:rsidR="00C430A4" w:rsidRDefault="00C430A4" w:rsidP="00C430A4">
      <w:pPr>
        <w:pStyle w:val="Normal2CtrlAltM"/>
      </w:pPr>
      <w:r>
        <w:t xml:space="preserve">    (b) the corporation was incorporated or continued by or under the provisions of a law, of Canada or of a province, that provide for the establishment of the corporation as a cooperative corporation or that provide for the establishment of cooperative corporations,</w:t>
      </w:r>
    </w:p>
    <w:p w14:paraId="26814A4D" w14:textId="39BB6F11" w:rsidR="00C430A4" w:rsidRDefault="00C430A4" w:rsidP="00C430A4">
      <w:pPr>
        <w:pStyle w:val="Normal2CtrlAltM"/>
      </w:pPr>
      <w:r>
        <w:t xml:space="preserve">    (c) the corporation is established for the purpose of providing employment to its members,</w:t>
      </w:r>
    </w:p>
    <w:p w14:paraId="490C3E05" w14:textId="77777777" w:rsidR="00C430A4" w:rsidRDefault="00C430A4" w:rsidP="00C430A4">
      <w:pPr>
        <w:pStyle w:val="Normal2CtrlAltM"/>
      </w:pPr>
      <w:r>
        <w:t xml:space="preserve">    (d) the corporation would be controlled by a particular person if each membership share of the capital stock of the corporation that is owned by a qualifying cooperative worker were owned by the particular person,</w:t>
      </w:r>
    </w:p>
    <w:p w14:paraId="1996E88F" w14:textId="77777777" w:rsidR="00C430A4" w:rsidRDefault="00C430A4" w:rsidP="00C430A4">
      <w:pPr>
        <w:pStyle w:val="Normal2CtrlAltM"/>
      </w:pPr>
      <w:r>
        <w:lastRenderedPageBreak/>
        <w:t xml:space="preserve">    (e) at least 75% of all individuals employed by the corporation and all qualifying cooperative businesses controlled by the corporation (other than an employee who has not completed an applicable probationary period, which may not exceed 12 months) are holders of a membership share of the corporation,</w:t>
      </w:r>
    </w:p>
    <w:p w14:paraId="241B5F02" w14:textId="77777777" w:rsidR="00C430A4" w:rsidRDefault="00C430A4" w:rsidP="00C430A4">
      <w:pPr>
        <w:pStyle w:val="Normal2CtrlAltM"/>
      </w:pPr>
      <w:r>
        <w:t xml:space="preserve">    (f) each initial membership share provided to an employee of the corporation and any qualifying cooperative business controlled by the corporation is</w:t>
      </w:r>
    </w:p>
    <w:p w14:paraId="4EAD19B2" w14:textId="77777777" w:rsidR="00C430A4" w:rsidRDefault="00C430A4" w:rsidP="00C430A4">
      <w:pPr>
        <w:pStyle w:val="Normal2CtrlAltM"/>
      </w:pPr>
      <w:r>
        <w:t xml:space="preserve">        (i) issued in exchange for a payment of a nominal amount determined in the same manner for all members described in the definition qualifying cooperative worker, and</w:t>
      </w:r>
    </w:p>
    <w:p w14:paraId="11A3142C" w14:textId="77777777" w:rsidR="00C430A4" w:rsidRDefault="00C430A4" w:rsidP="00C430A4">
      <w:pPr>
        <w:pStyle w:val="Normal2CtrlAltM"/>
      </w:pPr>
      <w:r>
        <w:t xml:space="preserve">        (ii) offered to each employee following their completion of an applicable probationary period, which may not exceed 12 months,</w:t>
      </w:r>
    </w:p>
    <w:p w14:paraId="7AA3E16E" w14:textId="77777777" w:rsidR="00C430A4" w:rsidRDefault="00C430A4" w:rsidP="00C430A4">
      <w:pPr>
        <w:pStyle w:val="Normal2CtrlAltM"/>
      </w:pPr>
      <w:r>
        <w:t xml:space="preserve">    (g) at least one-third of the directors of the corporation are qualifying cooperative workers of the corporation,</w:t>
      </w:r>
    </w:p>
    <w:p w14:paraId="7BAF155D" w14:textId="77777777" w:rsidR="00C430A4" w:rsidRDefault="00C430A4" w:rsidP="00C430A4">
      <w:pPr>
        <w:pStyle w:val="Normal2CtrlAltM"/>
      </w:pPr>
      <w:r>
        <w:t xml:space="preserve">    (h) not more than 40% of the directors of the corporation consist of individuals each of whom, immediately before the time of a qualifying cooperative conversion that involved the corporation, owned, directly or indirectly, together with any person or partnership that is related to or affiliated with the director, 50% or more of the fair market value of the shares of the capital stock or indebtedness of the corporation or a qualifying cooperative business controlled by the corporation, and</w:t>
      </w:r>
    </w:p>
    <w:p w14:paraId="6E2AB8CE" w14:textId="0858CB0C" w:rsidR="00C430A4" w:rsidRPr="00C430A4" w:rsidRDefault="00C430A4" w:rsidP="00C430A4">
      <w:pPr>
        <w:pStyle w:val="Normal2CtrlAltM"/>
      </w:pPr>
      <w:r>
        <w:t xml:space="preserve">    (i) the by-laws of the corporation provide a procedure for allocating, </w:t>
      </w:r>
      <w:proofErr w:type="gramStart"/>
      <w:r>
        <w:t>crediting</w:t>
      </w:r>
      <w:proofErr w:type="gramEnd"/>
      <w:r>
        <w:t xml:space="preserve"> or distributing any surplus earnings of the corporation, including that not less than 50% of those earnings must be paid on the basis of the remuneration earned by the qualifying cooperative workers from the corporation or the labour contributed by those members to the corporation </w:t>
      </w:r>
    </w:p>
    <w:p w14:paraId="34E14158" w14:textId="77777777" w:rsidR="00C7245D" w:rsidRPr="00C7245D" w:rsidRDefault="00C7245D" w:rsidP="00C7245D">
      <w:pPr>
        <w:pStyle w:val="Normal2CtrlAltM"/>
      </w:pPr>
    </w:p>
    <w:sectPr w:rsidR="00C7245D" w:rsidRPr="00C7245D" w:rsidSect="00D558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0E5C" w14:textId="77777777" w:rsidR="00A1587C" w:rsidRDefault="00A1587C" w:rsidP="00756E49">
      <w:pPr>
        <w:spacing w:after="0"/>
      </w:pPr>
      <w:r>
        <w:separator/>
      </w:r>
    </w:p>
  </w:endnote>
  <w:endnote w:type="continuationSeparator" w:id="0">
    <w:p w14:paraId="518F555A" w14:textId="77777777" w:rsidR="00A1587C" w:rsidRDefault="00A1587C" w:rsidP="00756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891F" w14:textId="77777777" w:rsidR="00A1587C" w:rsidRDefault="00A1587C" w:rsidP="00756E49">
      <w:pPr>
        <w:spacing w:after="0"/>
      </w:pPr>
      <w:r>
        <w:separator/>
      </w:r>
    </w:p>
  </w:footnote>
  <w:footnote w:type="continuationSeparator" w:id="0">
    <w:p w14:paraId="75E6E369" w14:textId="77777777" w:rsidR="00A1587C" w:rsidRDefault="00A1587C" w:rsidP="00756E49">
      <w:pPr>
        <w:spacing w:after="0"/>
      </w:pPr>
      <w:r>
        <w:continuationSeparator/>
      </w:r>
    </w:p>
  </w:footnote>
  <w:footnote w:id="1">
    <w:p w14:paraId="477061DF" w14:textId="05F765B8" w:rsidR="004F3B6B" w:rsidRPr="004F3B6B" w:rsidRDefault="004F3B6B">
      <w:pPr>
        <w:pStyle w:val="FootnoteText"/>
        <w:rPr>
          <w:lang w:val="en-US"/>
        </w:rPr>
      </w:pPr>
      <w:r>
        <w:rPr>
          <w:rStyle w:val="FootnoteReference"/>
        </w:rPr>
        <w:footnoteRef/>
      </w:r>
      <w:r>
        <w:t xml:space="preserve"> </w:t>
      </w:r>
      <w:hyperlink r:id="rId1" w:history="1">
        <w:r w:rsidR="0093244E" w:rsidRPr="0093244E">
          <w:rPr>
            <w:rStyle w:val="Hyperlink"/>
          </w:rPr>
          <w:t>Bill C</w:t>
        </w:r>
        <w:r w:rsidR="0093244E" w:rsidRPr="0093244E">
          <w:rPr>
            <w:rStyle w:val="Hyperlink"/>
          </w:rPr>
          <w:noBreakHyphen/>
          <w:t>15</w:t>
        </w:r>
      </w:hyperlink>
      <w:r w:rsidR="0093244E">
        <w:t xml:space="preserve">, received Royal Assent on March 26, 2026, as amended by </w:t>
      </w:r>
      <w:hyperlink r:id="rId2" w:history="1">
        <w:r w:rsidRPr="004F3B6B">
          <w:rPr>
            <w:rStyle w:val="Hyperlink"/>
            <w:lang w:val="en-US"/>
          </w:rPr>
          <w:t>Bill C</w:t>
        </w:r>
        <w:r w:rsidRPr="004F3B6B">
          <w:rPr>
            <w:rStyle w:val="Hyperlink"/>
            <w:lang w:val="en-US"/>
          </w:rPr>
          <w:noBreakHyphen/>
          <w:t>30</w:t>
        </w:r>
      </w:hyperlink>
      <w:r w:rsidR="0093244E">
        <w:rPr>
          <w:lang w:val="en-US"/>
        </w:rPr>
        <w:t>,</w:t>
      </w:r>
      <w:r>
        <w:rPr>
          <w:lang w:val="en-US"/>
        </w:rPr>
        <w:t xml:space="preserve"> tabled April 28, 2026, </w:t>
      </w:r>
      <w:r w:rsidR="0093244E">
        <w:rPr>
          <w:lang w:val="en-US"/>
        </w:rPr>
        <w:t>which had its f</w:t>
      </w:r>
      <w:r>
        <w:rPr>
          <w:lang w:val="en-US"/>
        </w:rPr>
        <w:t xml:space="preserve">irst reading </w:t>
      </w:r>
      <w:r w:rsidR="0093244E">
        <w:rPr>
          <w:lang w:val="en-US"/>
        </w:rPr>
        <w:t xml:space="preserve">on </w:t>
      </w:r>
      <w:r>
        <w:rPr>
          <w:lang w:val="en-US"/>
        </w:rPr>
        <w:t>April 29, 2026</w:t>
      </w:r>
    </w:p>
  </w:footnote>
  <w:footnote w:id="2">
    <w:p w14:paraId="08888606" w14:textId="3FDB4CA7" w:rsidR="00F71580" w:rsidRPr="00F71580" w:rsidRDefault="00F71580">
      <w:pPr>
        <w:pStyle w:val="FootnoteText"/>
        <w:rPr>
          <w:lang w:val="en-US"/>
        </w:rPr>
      </w:pPr>
      <w:r>
        <w:rPr>
          <w:rStyle w:val="FootnoteReference"/>
        </w:rPr>
        <w:footnoteRef/>
      </w:r>
      <w:r>
        <w:t xml:space="preserve"> </w:t>
      </w:r>
      <w:r>
        <w:rPr>
          <w:lang w:val="en-US"/>
        </w:rPr>
        <w:t xml:space="preserve">The </w:t>
      </w:r>
      <w:r w:rsidR="006417FB">
        <w:rPr>
          <w:lang w:val="en-US"/>
        </w:rPr>
        <w:t xml:space="preserve">formula for calculating the precise amount of the exemption available is </w:t>
      </w:r>
      <w:r w:rsidR="00DB1FD1">
        <w:rPr>
          <w:lang w:val="en-US"/>
        </w:rPr>
        <w:t>s</w:t>
      </w:r>
      <w:r w:rsidR="006417FB">
        <w:rPr>
          <w:lang w:val="en-US"/>
        </w:rPr>
        <w:t>et out in</w:t>
      </w:r>
      <w:r w:rsidR="00DB1FD1">
        <w:rPr>
          <w:lang w:val="en-US"/>
        </w:rPr>
        <w:t xml:space="preserve"> </w:t>
      </w:r>
      <w:r w:rsidR="006417FB">
        <w:rPr>
          <w:lang w:val="en-US"/>
        </w:rPr>
        <w:t>IT</w:t>
      </w:r>
      <w:r w:rsidR="00DB1FD1">
        <w:rPr>
          <w:lang w:val="en-US"/>
        </w:rPr>
        <w:t>A</w:t>
      </w:r>
      <w:r w:rsidR="006417FB">
        <w:rPr>
          <w:lang w:val="en-US"/>
        </w:rPr>
        <w:t xml:space="preserve"> section 110.62(2)</w:t>
      </w:r>
    </w:p>
  </w:footnote>
  <w:footnote w:id="3">
    <w:p w14:paraId="36035034" w14:textId="02ED3204" w:rsidR="00756E49" w:rsidRPr="00756E49" w:rsidRDefault="00756E49">
      <w:pPr>
        <w:pStyle w:val="FootnoteText"/>
        <w:rPr>
          <w:lang w:val="en-US"/>
        </w:rPr>
      </w:pPr>
      <w:r>
        <w:rPr>
          <w:rStyle w:val="FootnoteReference"/>
        </w:rPr>
        <w:footnoteRef/>
      </w:r>
      <w:r>
        <w:t xml:space="preserve"> A trust that holds the issued shares of a business for the benefit of its employees. At least one-third of the trustees must be current employee beneficiaries</w:t>
      </w:r>
      <w:r w:rsidR="00A302EC">
        <w:t>.</w:t>
      </w:r>
    </w:p>
  </w:footnote>
  <w:footnote w:id="4">
    <w:p w14:paraId="1596866E" w14:textId="397BF1D8" w:rsidR="0069004A" w:rsidRPr="0069004A" w:rsidRDefault="0069004A">
      <w:pPr>
        <w:pStyle w:val="FootnoteText"/>
        <w:rPr>
          <w:lang w:val="en-US"/>
        </w:rPr>
      </w:pPr>
      <w:r>
        <w:rPr>
          <w:rStyle w:val="FootnoteReference"/>
        </w:rPr>
        <w:footnoteRef/>
      </w:r>
      <w:r>
        <w:t xml:space="preserve"> </w:t>
      </w:r>
      <w:r>
        <w:rPr>
          <w:lang w:val="en-US"/>
        </w:rPr>
        <w:t>See ITA section 110.62</w:t>
      </w:r>
      <w:r w:rsidR="00F46C10">
        <w:rPr>
          <w:lang w:val="en-US"/>
        </w:rPr>
        <w:t>(1)</w:t>
      </w:r>
    </w:p>
  </w:footnote>
  <w:footnote w:id="5">
    <w:p w14:paraId="395A4D95" w14:textId="76CD6EDE" w:rsidR="00EC00B1" w:rsidRPr="00EC00B1" w:rsidRDefault="00EC00B1">
      <w:pPr>
        <w:pStyle w:val="FootnoteText"/>
        <w:rPr>
          <w:lang w:val="en-US"/>
        </w:rPr>
      </w:pPr>
      <w:r>
        <w:rPr>
          <w:rStyle w:val="FootnoteReference"/>
        </w:rPr>
        <w:footnoteRef/>
      </w:r>
      <w:r>
        <w:t xml:space="preserve"> </w:t>
      </w:r>
      <w:r>
        <w:rPr>
          <w:lang w:val="en-US"/>
        </w:rPr>
        <w:t>See ITA section 110.62(11)</w:t>
      </w:r>
    </w:p>
  </w:footnote>
  <w:footnote w:id="6">
    <w:p w14:paraId="6D2A18D3" w14:textId="3898670D" w:rsidR="004C60F5" w:rsidRPr="004C60F5" w:rsidRDefault="004C60F5">
      <w:pPr>
        <w:pStyle w:val="FootnoteText"/>
        <w:rPr>
          <w:lang w:val="en-US"/>
        </w:rPr>
      </w:pPr>
      <w:r>
        <w:rPr>
          <w:rStyle w:val="FootnoteReference"/>
        </w:rPr>
        <w:footnoteRef/>
      </w:r>
      <w:r>
        <w:t xml:space="preserve"> </w:t>
      </w:r>
      <w:r>
        <w:rPr>
          <w:lang w:val="en-US"/>
        </w:rPr>
        <w:t xml:space="preserve">See ITA section </w:t>
      </w:r>
      <w:r w:rsidR="0064558B">
        <w:rPr>
          <w:lang w:val="en-US"/>
        </w:rPr>
        <w:t>40(1.4)</w:t>
      </w:r>
    </w:p>
  </w:footnote>
  <w:footnote w:id="7">
    <w:p w14:paraId="4F2606F7" w14:textId="1A313386" w:rsidR="00B92965" w:rsidRPr="00B92965" w:rsidRDefault="00B92965">
      <w:pPr>
        <w:pStyle w:val="FootnoteText"/>
        <w:rPr>
          <w:lang w:val="en-US"/>
        </w:rPr>
      </w:pPr>
      <w:r>
        <w:rPr>
          <w:rStyle w:val="FootnoteReference"/>
        </w:rPr>
        <w:footnoteRef/>
      </w:r>
      <w:r>
        <w:t xml:space="preserve"> </w:t>
      </w:r>
      <w:r>
        <w:rPr>
          <w:lang w:val="en-US"/>
        </w:rPr>
        <w:t>See ITA section 248(1)</w:t>
      </w:r>
    </w:p>
  </w:footnote>
  <w:footnote w:id="8">
    <w:p w14:paraId="7BB49388" w14:textId="243BCE65" w:rsidR="004242B4" w:rsidRPr="004242B4" w:rsidRDefault="004242B4">
      <w:pPr>
        <w:pStyle w:val="FootnoteText"/>
        <w:rPr>
          <w:lang w:val="en-US"/>
        </w:rPr>
      </w:pPr>
      <w:r>
        <w:rPr>
          <w:rStyle w:val="FootnoteReference"/>
        </w:rPr>
        <w:footnoteRef/>
      </w:r>
      <w:r>
        <w:t xml:space="preserve"> </w:t>
      </w:r>
      <w:r>
        <w:rPr>
          <w:lang w:val="en-US"/>
        </w:rPr>
        <w:t>See ITA section 248(1)</w:t>
      </w:r>
    </w:p>
  </w:footnote>
  <w:footnote w:id="9">
    <w:p w14:paraId="34184367" w14:textId="3B1AF66E" w:rsidR="004242B4" w:rsidRPr="004242B4" w:rsidRDefault="004242B4">
      <w:pPr>
        <w:pStyle w:val="FootnoteText"/>
        <w:rPr>
          <w:lang w:val="en-US"/>
        </w:rPr>
      </w:pPr>
      <w:r>
        <w:rPr>
          <w:rStyle w:val="FootnoteReference"/>
        </w:rPr>
        <w:footnoteRef/>
      </w:r>
      <w:r>
        <w:t xml:space="preserve"> </w:t>
      </w:r>
      <w:r>
        <w:rPr>
          <w:lang w:val="en-US"/>
        </w:rPr>
        <w:t>See ITA section 248(1)</w:t>
      </w:r>
    </w:p>
  </w:footnote>
  <w:footnote w:id="10">
    <w:p w14:paraId="55EBFD3D" w14:textId="2D7F07C2" w:rsidR="004242B4" w:rsidRPr="004242B4" w:rsidRDefault="004242B4">
      <w:pPr>
        <w:pStyle w:val="FootnoteText"/>
        <w:rPr>
          <w:lang w:val="en-US"/>
        </w:rPr>
      </w:pPr>
      <w:r>
        <w:rPr>
          <w:rStyle w:val="FootnoteReference"/>
        </w:rPr>
        <w:footnoteRef/>
      </w:r>
      <w:r>
        <w:t xml:space="preserve"> </w:t>
      </w:r>
      <w:r>
        <w:rPr>
          <w:lang w:val="en-US"/>
        </w:rPr>
        <w:t>See ITA section 248(1)</w:t>
      </w:r>
    </w:p>
  </w:footnote>
  <w:footnote w:id="11">
    <w:p w14:paraId="565F5AAA" w14:textId="4DD7A7B1" w:rsidR="003821F0" w:rsidRPr="003821F0" w:rsidRDefault="003821F0">
      <w:pPr>
        <w:pStyle w:val="FootnoteText"/>
        <w:rPr>
          <w:lang w:val="en-US"/>
        </w:rPr>
      </w:pPr>
      <w:r>
        <w:rPr>
          <w:rStyle w:val="FootnoteReference"/>
        </w:rPr>
        <w:footnoteRef/>
      </w:r>
      <w:r>
        <w:t xml:space="preserve"> </w:t>
      </w:r>
      <w:r>
        <w:rPr>
          <w:lang w:val="en-US"/>
        </w:rPr>
        <w:t>See ITA section 110.62(4)</w:t>
      </w:r>
    </w:p>
  </w:footnote>
  <w:footnote w:id="12">
    <w:p w14:paraId="01056A63" w14:textId="4B7B8E6D" w:rsidR="00F27841" w:rsidRPr="00F27841" w:rsidRDefault="00F27841">
      <w:pPr>
        <w:pStyle w:val="FootnoteText"/>
        <w:rPr>
          <w:lang w:val="en-US"/>
        </w:rPr>
      </w:pPr>
      <w:r>
        <w:rPr>
          <w:rStyle w:val="FootnoteReference"/>
        </w:rPr>
        <w:footnoteRef/>
      </w:r>
      <w:r>
        <w:t xml:space="preserve"> </w:t>
      </w:r>
      <w:r>
        <w:rPr>
          <w:lang w:val="en-US"/>
        </w:rPr>
        <w:t>ITA section 110</w:t>
      </w:r>
      <w:r w:rsidR="00950754">
        <w:rPr>
          <w:lang w:val="en-US"/>
        </w:rPr>
        <w:t>.62(5)</w:t>
      </w:r>
    </w:p>
  </w:footnote>
  <w:footnote w:id="13">
    <w:p w14:paraId="4201F475" w14:textId="6A16E573" w:rsidR="004A66CC" w:rsidRPr="004A66CC" w:rsidRDefault="004A66CC">
      <w:pPr>
        <w:pStyle w:val="FootnoteText"/>
        <w:rPr>
          <w:lang w:val="en-US"/>
        </w:rPr>
      </w:pPr>
      <w:r>
        <w:rPr>
          <w:rStyle w:val="FootnoteReference"/>
        </w:rPr>
        <w:footnoteRef/>
      </w:r>
      <w:r>
        <w:t xml:space="preserve"> </w:t>
      </w:r>
      <w:r>
        <w:rPr>
          <w:lang w:val="en-US"/>
        </w:rPr>
        <w:t>IT</w:t>
      </w:r>
      <w:r w:rsidR="00893E5C">
        <w:rPr>
          <w:lang w:val="en-US"/>
        </w:rPr>
        <w:t>A</w:t>
      </w:r>
      <w:r>
        <w:rPr>
          <w:lang w:val="en-US"/>
        </w:rPr>
        <w:t xml:space="preserve"> section 110.62 (</w:t>
      </w:r>
      <w:r w:rsidR="00893E5C">
        <w:rPr>
          <w:lang w:val="en-US"/>
        </w:rPr>
        <w:t>6)</w:t>
      </w:r>
    </w:p>
  </w:footnote>
  <w:footnote w:id="14">
    <w:p w14:paraId="6F5FEB1F" w14:textId="48A94932" w:rsidR="00906C1A" w:rsidRPr="00906C1A" w:rsidRDefault="00906C1A">
      <w:pPr>
        <w:pStyle w:val="FootnoteText"/>
        <w:rPr>
          <w:lang w:val="en-US"/>
        </w:rPr>
      </w:pPr>
      <w:r>
        <w:rPr>
          <w:rStyle w:val="FootnoteReference"/>
        </w:rPr>
        <w:footnoteRef/>
      </w:r>
      <w:r>
        <w:t xml:space="preserve"> </w:t>
      </w:r>
      <w:r>
        <w:rPr>
          <w:lang w:val="en-US"/>
        </w:rPr>
        <w:t>See ITA section 110.62(7)</w:t>
      </w:r>
      <w:r w:rsidR="00AC312E">
        <w:rPr>
          <w:lang w:val="en-US"/>
        </w:rPr>
        <w:t xml:space="preserve"> and (10)</w:t>
      </w:r>
    </w:p>
  </w:footnote>
  <w:footnote w:id="15">
    <w:p w14:paraId="2D61928B" w14:textId="11E91E15" w:rsidR="00450856" w:rsidRPr="00450856" w:rsidRDefault="00450856">
      <w:pPr>
        <w:pStyle w:val="FootnoteText"/>
        <w:rPr>
          <w:lang w:val="en-US"/>
        </w:rPr>
      </w:pPr>
      <w:r>
        <w:rPr>
          <w:rStyle w:val="FootnoteReference"/>
        </w:rPr>
        <w:footnoteRef/>
      </w:r>
      <w:r>
        <w:t xml:space="preserve"> </w:t>
      </w:r>
      <w:r w:rsidR="00593410">
        <w:t xml:space="preserve">See </w:t>
      </w:r>
      <w:r w:rsidR="00AA228E">
        <w:rPr>
          <w:lang w:val="en-US"/>
        </w:rPr>
        <w:t>ITA section 110.62(8)</w:t>
      </w:r>
      <w:r w:rsidR="00593410">
        <w:rPr>
          <w:lang w:val="en-US"/>
        </w:rPr>
        <w:t xml:space="preserve"> and (9)</w:t>
      </w:r>
    </w:p>
  </w:footnote>
  <w:footnote w:id="16">
    <w:p w14:paraId="2B6EEE96" w14:textId="07B48AE4" w:rsidR="00DE717A" w:rsidRPr="00DE717A" w:rsidRDefault="00DE717A">
      <w:pPr>
        <w:pStyle w:val="FootnoteText"/>
        <w:rPr>
          <w:lang w:val="en-US"/>
        </w:rPr>
      </w:pPr>
      <w:r>
        <w:rPr>
          <w:rStyle w:val="FootnoteReference"/>
        </w:rPr>
        <w:footnoteRef/>
      </w:r>
      <w:r>
        <w:t xml:space="preserve"> </w:t>
      </w:r>
      <w:r>
        <w:rPr>
          <w:lang w:val="en-US"/>
        </w:rPr>
        <w:t>Deleted by Bill C</w:t>
      </w:r>
      <w:r w:rsidRPr="00DE717A">
        <w:rPr>
          <w:lang w:val="en-US"/>
        </w:rPr>
        <w:noBreakHyphen/>
      </w:r>
      <w:r>
        <w:rPr>
          <w:lang w:val="en-US"/>
        </w:rPr>
        <w:t>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30E5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0A17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5C47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62061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3EB03A6C"/>
    <w:lvl w:ilvl="0">
      <w:start w:val="1"/>
      <w:numFmt w:val="decimal"/>
      <w:pStyle w:val="ListNumber"/>
      <w:lvlText w:val="%1."/>
      <w:lvlJc w:val="left"/>
      <w:pPr>
        <w:tabs>
          <w:tab w:val="num" w:pos="360"/>
        </w:tabs>
        <w:ind w:left="360" w:hanging="360"/>
      </w:pPr>
    </w:lvl>
  </w:abstractNum>
  <w:abstractNum w:abstractNumId="5" w15:restartNumberingAfterBreak="0">
    <w:nsid w:val="016116D4"/>
    <w:multiLevelType w:val="multilevel"/>
    <w:tmpl w:val="F33E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B30C2"/>
    <w:multiLevelType w:val="multilevel"/>
    <w:tmpl w:val="74D0A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34015"/>
    <w:multiLevelType w:val="multilevel"/>
    <w:tmpl w:val="4CA0EC76"/>
    <w:lvl w:ilvl="0">
      <w:start w:val="1"/>
      <w:numFmt w:val="bullet"/>
      <w:pStyle w:val="ListBullet"/>
      <w:lvlText w:val=""/>
      <w:lvlJc w:val="left"/>
      <w:pPr>
        <w:ind w:left="720" w:hanging="720"/>
      </w:pPr>
      <w:rPr>
        <w:rFonts w:ascii="Symbol" w:hAnsi="Symbol" w:hint="default"/>
        <w:color w:val="auto"/>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lvlText w:val=""/>
      <w:lvlJc w:val="left"/>
      <w:pPr>
        <w:ind w:left="4320" w:hanging="720"/>
      </w:pPr>
      <w:rPr>
        <w:rFonts w:ascii="Symbol" w:hAnsi="Symbol" w:hint="default"/>
        <w:color w:val="auto"/>
      </w:rPr>
    </w:lvl>
    <w:lvl w:ilvl="6">
      <w:start w:val="1"/>
      <w:numFmt w:val="bullet"/>
      <w:lvlText w:val=""/>
      <w:lvlJc w:val="left"/>
      <w:pPr>
        <w:ind w:left="5040" w:hanging="720"/>
      </w:pPr>
      <w:rPr>
        <w:rFonts w:ascii="Symbol" w:hAnsi="Symbol" w:hint="default"/>
        <w:color w:val="auto"/>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8" w15:restartNumberingAfterBreak="0">
    <w:nsid w:val="14176713"/>
    <w:multiLevelType w:val="multilevel"/>
    <w:tmpl w:val="15D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13A7C"/>
    <w:multiLevelType w:val="multilevel"/>
    <w:tmpl w:val="10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F852C68"/>
    <w:multiLevelType w:val="multilevel"/>
    <w:tmpl w:val="9666430A"/>
    <w:lvl w:ilvl="0">
      <w:start w:val="1"/>
      <w:numFmt w:val="upperRoman"/>
      <w:pStyle w:val="AltListCtrlAltShift1"/>
      <w:lvlText w:val="%1."/>
      <w:lvlJc w:val="left"/>
      <w:pPr>
        <w:ind w:left="720" w:hanging="720"/>
      </w:pPr>
      <w:rPr>
        <w:rFonts w:hint="default"/>
      </w:rPr>
    </w:lvl>
    <w:lvl w:ilvl="1">
      <w:start w:val="1"/>
      <w:numFmt w:val="lowerLetter"/>
      <w:pStyle w:val="AltList2CtrlAltShift2"/>
      <w:lvlText w:val="%2."/>
      <w:lvlJc w:val="left"/>
      <w:pPr>
        <w:ind w:left="1440" w:hanging="720"/>
      </w:pPr>
      <w:rPr>
        <w:rFonts w:hint="default"/>
      </w:rPr>
    </w:lvl>
    <w:lvl w:ilvl="2">
      <w:start w:val="1"/>
      <w:numFmt w:val="lowerRoman"/>
      <w:pStyle w:val="AltList3CtrlAltShift3"/>
      <w:lvlText w:val="%3."/>
      <w:lvlJc w:val="left"/>
      <w:pPr>
        <w:ind w:left="2160" w:hanging="720"/>
      </w:pPr>
      <w:rPr>
        <w:rFonts w:hint="default"/>
      </w:rPr>
    </w:lvl>
    <w:lvl w:ilvl="3">
      <w:start w:val="1"/>
      <w:numFmt w:val="decimal"/>
      <w:pStyle w:val="AltList4CtrlAltShift4"/>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5.%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1" w15:restartNumberingAfterBreak="0">
    <w:nsid w:val="3BB96FEA"/>
    <w:multiLevelType w:val="multilevel"/>
    <w:tmpl w:val="B17441D4"/>
    <w:lvl w:ilvl="0">
      <w:start w:val="1"/>
      <w:numFmt w:val="decimal"/>
      <w:pStyle w:val="List"/>
      <w:lvlText w:val="%1."/>
      <w:lvlJc w:val="left"/>
      <w:pPr>
        <w:ind w:left="720" w:hanging="720"/>
      </w:pPr>
      <w:rPr>
        <w:rFonts w:hint="default"/>
      </w:rPr>
    </w:lvl>
    <w:lvl w:ilvl="1">
      <w:start w:val="1"/>
      <w:numFmt w:val="lowerLetter"/>
      <w:pStyle w:val="List2"/>
      <w:lvlText w:val="(%2)"/>
      <w:lvlJc w:val="left"/>
      <w:pPr>
        <w:ind w:left="1440" w:hanging="720"/>
      </w:pPr>
      <w:rPr>
        <w:rFonts w:hint="default"/>
      </w:rPr>
    </w:lvl>
    <w:lvl w:ilvl="2">
      <w:start w:val="1"/>
      <w:numFmt w:val="lowerRoman"/>
      <w:pStyle w:val="List3"/>
      <w:lvlText w:val="(%3)"/>
      <w:lvlJc w:val="left"/>
      <w:pPr>
        <w:ind w:left="2160" w:hanging="720"/>
      </w:pPr>
      <w:rPr>
        <w:rFonts w:hint="default"/>
      </w:rPr>
    </w:lvl>
    <w:lvl w:ilvl="3">
      <w:start w:val="1"/>
      <w:numFmt w:val="decimal"/>
      <w:pStyle w:val="List4"/>
      <w:lvlText w:val="%4."/>
      <w:lvlJc w:val="left"/>
      <w:pPr>
        <w:ind w:left="2880" w:hanging="720"/>
      </w:pPr>
      <w:rPr>
        <w:rFonts w:hint="default"/>
      </w:rPr>
    </w:lvl>
    <w:lvl w:ilvl="4">
      <w:start w:val="1"/>
      <w:numFmt w:val="lowerLetter"/>
      <w:pStyle w:val="List5"/>
      <w:lvlText w:val="(%5)"/>
      <w:lvlJc w:val="left"/>
      <w:pPr>
        <w:ind w:left="3600" w:hanging="720"/>
      </w:pPr>
      <w:rPr>
        <w:rFonts w:hint="default"/>
      </w:rPr>
    </w:lvl>
    <w:lvl w:ilvl="5">
      <w:start w:val="1"/>
      <w:numFmt w:val="lowerRoman"/>
      <w:pStyle w:val="List6AltShift6"/>
      <w:lvlText w:val="(%6)"/>
      <w:lvlJc w:val="left"/>
      <w:pPr>
        <w:ind w:left="4320" w:hanging="720"/>
      </w:pPr>
      <w:rPr>
        <w:rFonts w:hint="default"/>
      </w:rPr>
    </w:lvl>
    <w:lvl w:ilvl="6">
      <w:start w:val="1"/>
      <w:numFmt w:val="decimal"/>
      <w:pStyle w:val="List7AltShift7"/>
      <w:lvlText w:val="%7."/>
      <w:lvlJc w:val="left"/>
      <w:pPr>
        <w:ind w:left="5040" w:hanging="720"/>
      </w:pPr>
      <w:rPr>
        <w:rFonts w:hint="default"/>
      </w:rPr>
    </w:lvl>
    <w:lvl w:ilvl="7">
      <w:start w:val="1"/>
      <w:numFmt w:val="lowerLetter"/>
      <w:pStyle w:val="List8AltShift8"/>
      <w:lvlText w:val="(%8)"/>
      <w:lvlJc w:val="left"/>
      <w:pPr>
        <w:ind w:left="5760" w:hanging="720"/>
      </w:pPr>
      <w:rPr>
        <w:rFonts w:hint="default"/>
      </w:rPr>
    </w:lvl>
    <w:lvl w:ilvl="8">
      <w:start w:val="1"/>
      <w:numFmt w:val="lowerRoman"/>
      <w:pStyle w:val="List9AltShift9"/>
      <w:lvlText w:val="(%9)"/>
      <w:lvlJc w:val="left"/>
      <w:pPr>
        <w:ind w:left="6480" w:hanging="720"/>
      </w:pPr>
      <w:rPr>
        <w:rFonts w:hint="default"/>
      </w:rPr>
    </w:lvl>
  </w:abstractNum>
  <w:abstractNum w:abstractNumId="12" w15:restartNumberingAfterBreak="0">
    <w:nsid w:val="3D231D08"/>
    <w:multiLevelType w:val="multilevel"/>
    <w:tmpl w:val="CC26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5183E"/>
    <w:multiLevelType w:val="multilevel"/>
    <w:tmpl w:val="9120E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844BE"/>
    <w:multiLevelType w:val="multilevel"/>
    <w:tmpl w:val="EC7E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946E3"/>
    <w:multiLevelType w:val="multilevel"/>
    <w:tmpl w:val="89B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20328"/>
    <w:multiLevelType w:val="multilevel"/>
    <w:tmpl w:val="98D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93AF4"/>
    <w:multiLevelType w:val="multilevel"/>
    <w:tmpl w:val="DAD2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E326A"/>
    <w:multiLevelType w:val="multilevel"/>
    <w:tmpl w:val="B99C4D04"/>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lowerLetter"/>
      <w:pStyle w:val="Heading3"/>
      <w:lvlText w:val="%3."/>
      <w:lvlJc w:val="left"/>
      <w:pPr>
        <w:ind w:left="2160" w:hanging="720"/>
      </w:pPr>
      <w:rPr>
        <w:rFonts w:hint="default"/>
      </w:rPr>
    </w:lvl>
    <w:lvl w:ilvl="3">
      <w:start w:val="1"/>
      <w:numFmt w:val="lowerRoman"/>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decimal"/>
      <w:pStyle w:val="Heading6"/>
      <w:lvlText w:val="%5.%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abstractNum w:abstractNumId="19" w15:restartNumberingAfterBreak="0">
    <w:nsid w:val="6CC45D0A"/>
    <w:multiLevelType w:val="multilevel"/>
    <w:tmpl w:val="21B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3197">
    <w:abstractNumId w:val="10"/>
  </w:num>
  <w:num w:numId="2" w16cid:durableId="1364329378">
    <w:abstractNumId w:val="9"/>
  </w:num>
  <w:num w:numId="3" w16cid:durableId="693270890">
    <w:abstractNumId w:val="11"/>
  </w:num>
  <w:num w:numId="4" w16cid:durableId="1137606098">
    <w:abstractNumId w:val="7"/>
  </w:num>
  <w:num w:numId="5" w16cid:durableId="54863334">
    <w:abstractNumId w:val="4"/>
  </w:num>
  <w:num w:numId="6" w16cid:durableId="1715613835">
    <w:abstractNumId w:val="3"/>
  </w:num>
  <w:num w:numId="7" w16cid:durableId="1168710583">
    <w:abstractNumId w:val="2"/>
  </w:num>
  <w:num w:numId="8" w16cid:durableId="521624793">
    <w:abstractNumId w:val="1"/>
  </w:num>
  <w:num w:numId="9" w16cid:durableId="33045669">
    <w:abstractNumId w:val="0"/>
  </w:num>
  <w:num w:numId="10" w16cid:durableId="331638848">
    <w:abstractNumId w:val="18"/>
  </w:num>
  <w:num w:numId="11" w16cid:durableId="1280261156">
    <w:abstractNumId w:val="6"/>
  </w:num>
  <w:num w:numId="12" w16cid:durableId="888954198">
    <w:abstractNumId w:val="16"/>
  </w:num>
  <w:num w:numId="13" w16cid:durableId="763041114">
    <w:abstractNumId w:val="5"/>
  </w:num>
  <w:num w:numId="14" w16cid:durableId="600377807">
    <w:abstractNumId w:val="15"/>
  </w:num>
  <w:num w:numId="15" w16cid:durableId="999575238">
    <w:abstractNumId w:val="19"/>
  </w:num>
  <w:num w:numId="16" w16cid:durableId="413163097">
    <w:abstractNumId w:val="13"/>
  </w:num>
  <w:num w:numId="17" w16cid:durableId="1783332268">
    <w:abstractNumId w:val="14"/>
  </w:num>
  <w:num w:numId="18" w16cid:durableId="271976750">
    <w:abstractNumId w:val="8"/>
  </w:num>
  <w:num w:numId="19" w16cid:durableId="1230388662">
    <w:abstractNumId w:val="17"/>
  </w:num>
  <w:num w:numId="20" w16cid:durableId="3557548">
    <w:abstractNumId w:val="12"/>
  </w:num>
  <w:num w:numId="21" w16cid:durableId="677923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dgnword-docGUID" w:val="{54109551-A123-4166-B3E9-2557A42AD0F4}"/>
    <w:docVar w:name="dgnword-drafile" w:val="C:\Users\brian\AppData\Local\Temp\dra26B0.tmp"/>
    <w:docVar w:name="dgnword-eventsink" w:val="2355788604272"/>
  </w:docVars>
  <w:rsids>
    <w:rsidRoot w:val="00E56BB1"/>
    <w:rsid w:val="00032F0E"/>
    <w:rsid w:val="00036036"/>
    <w:rsid w:val="00051B6B"/>
    <w:rsid w:val="00053D27"/>
    <w:rsid w:val="000A6F7D"/>
    <w:rsid w:val="000C01FD"/>
    <w:rsid w:val="000C0543"/>
    <w:rsid w:val="000C0BE1"/>
    <w:rsid w:val="000C7B7D"/>
    <w:rsid w:val="001106FD"/>
    <w:rsid w:val="00121021"/>
    <w:rsid w:val="001519F7"/>
    <w:rsid w:val="00177CF1"/>
    <w:rsid w:val="001D2206"/>
    <w:rsid w:val="001D5BCB"/>
    <w:rsid w:val="001E08E0"/>
    <w:rsid w:val="001E658E"/>
    <w:rsid w:val="001F084A"/>
    <w:rsid w:val="00212A5F"/>
    <w:rsid w:val="002419BA"/>
    <w:rsid w:val="00270595"/>
    <w:rsid w:val="00297A2B"/>
    <w:rsid w:val="002D617A"/>
    <w:rsid w:val="002E25FA"/>
    <w:rsid w:val="002E3FC2"/>
    <w:rsid w:val="00317CAC"/>
    <w:rsid w:val="00340869"/>
    <w:rsid w:val="00364EE4"/>
    <w:rsid w:val="003821F0"/>
    <w:rsid w:val="003A0AE0"/>
    <w:rsid w:val="003A4AB3"/>
    <w:rsid w:val="003C5789"/>
    <w:rsid w:val="003D1E4B"/>
    <w:rsid w:val="003D4D1F"/>
    <w:rsid w:val="00404601"/>
    <w:rsid w:val="00405184"/>
    <w:rsid w:val="004167E5"/>
    <w:rsid w:val="004242B4"/>
    <w:rsid w:val="004372A4"/>
    <w:rsid w:val="00450856"/>
    <w:rsid w:val="00456C72"/>
    <w:rsid w:val="00473A58"/>
    <w:rsid w:val="00483889"/>
    <w:rsid w:val="004A66CC"/>
    <w:rsid w:val="004C60F5"/>
    <w:rsid w:val="004F3B6B"/>
    <w:rsid w:val="005448AA"/>
    <w:rsid w:val="00545F4D"/>
    <w:rsid w:val="00550CBB"/>
    <w:rsid w:val="00561A46"/>
    <w:rsid w:val="005635C2"/>
    <w:rsid w:val="005705A2"/>
    <w:rsid w:val="00573467"/>
    <w:rsid w:val="00591A32"/>
    <w:rsid w:val="00593410"/>
    <w:rsid w:val="005B4399"/>
    <w:rsid w:val="005C2A76"/>
    <w:rsid w:val="005C5A90"/>
    <w:rsid w:val="005F4974"/>
    <w:rsid w:val="006008D0"/>
    <w:rsid w:val="00621BD0"/>
    <w:rsid w:val="00633A24"/>
    <w:rsid w:val="00634320"/>
    <w:rsid w:val="006417FB"/>
    <w:rsid w:val="006446D2"/>
    <w:rsid w:val="0064558B"/>
    <w:rsid w:val="006541F3"/>
    <w:rsid w:val="00654212"/>
    <w:rsid w:val="006764C1"/>
    <w:rsid w:val="0069004A"/>
    <w:rsid w:val="00692A26"/>
    <w:rsid w:val="00694A14"/>
    <w:rsid w:val="00695EE3"/>
    <w:rsid w:val="006C3876"/>
    <w:rsid w:val="006E05FE"/>
    <w:rsid w:val="006F5914"/>
    <w:rsid w:val="007004C3"/>
    <w:rsid w:val="007243FF"/>
    <w:rsid w:val="007278FD"/>
    <w:rsid w:val="00747088"/>
    <w:rsid w:val="00756E49"/>
    <w:rsid w:val="00762E88"/>
    <w:rsid w:val="00781C22"/>
    <w:rsid w:val="007B01A1"/>
    <w:rsid w:val="007D0CB6"/>
    <w:rsid w:val="007D2939"/>
    <w:rsid w:val="007E249C"/>
    <w:rsid w:val="007E7C7E"/>
    <w:rsid w:val="007F3E86"/>
    <w:rsid w:val="0084148E"/>
    <w:rsid w:val="00893E5C"/>
    <w:rsid w:val="008B5FEE"/>
    <w:rsid w:val="00906C1A"/>
    <w:rsid w:val="00912437"/>
    <w:rsid w:val="00912A47"/>
    <w:rsid w:val="0093185A"/>
    <w:rsid w:val="0093244E"/>
    <w:rsid w:val="00945C5A"/>
    <w:rsid w:val="00950754"/>
    <w:rsid w:val="0095246B"/>
    <w:rsid w:val="009547B8"/>
    <w:rsid w:val="009603E2"/>
    <w:rsid w:val="00971340"/>
    <w:rsid w:val="00973EFF"/>
    <w:rsid w:val="009A7333"/>
    <w:rsid w:val="00A0431B"/>
    <w:rsid w:val="00A1587C"/>
    <w:rsid w:val="00A16B92"/>
    <w:rsid w:val="00A302EC"/>
    <w:rsid w:val="00A47279"/>
    <w:rsid w:val="00A53286"/>
    <w:rsid w:val="00A65D46"/>
    <w:rsid w:val="00A84D7D"/>
    <w:rsid w:val="00A952FF"/>
    <w:rsid w:val="00AA228E"/>
    <w:rsid w:val="00AC312E"/>
    <w:rsid w:val="00B12E82"/>
    <w:rsid w:val="00B83828"/>
    <w:rsid w:val="00B921B2"/>
    <w:rsid w:val="00B92965"/>
    <w:rsid w:val="00BA63E6"/>
    <w:rsid w:val="00BB63F3"/>
    <w:rsid w:val="00BD7902"/>
    <w:rsid w:val="00BF7CC3"/>
    <w:rsid w:val="00C03D2A"/>
    <w:rsid w:val="00C07F85"/>
    <w:rsid w:val="00C3280A"/>
    <w:rsid w:val="00C32B9E"/>
    <w:rsid w:val="00C4114B"/>
    <w:rsid w:val="00C430A4"/>
    <w:rsid w:val="00C45EDB"/>
    <w:rsid w:val="00C7245D"/>
    <w:rsid w:val="00CA333E"/>
    <w:rsid w:val="00D1460F"/>
    <w:rsid w:val="00D52A9B"/>
    <w:rsid w:val="00D558DE"/>
    <w:rsid w:val="00D66CC5"/>
    <w:rsid w:val="00D71061"/>
    <w:rsid w:val="00D92558"/>
    <w:rsid w:val="00D97763"/>
    <w:rsid w:val="00DA2283"/>
    <w:rsid w:val="00DA3325"/>
    <w:rsid w:val="00DB1FD1"/>
    <w:rsid w:val="00DC6AAA"/>
    <w:rsid w:val="00DE126D"/>
    <w:rsid w:val="00DE717A"/>
    <w:rsid w:val="00DF17EB"/>
    <w:rsid w:val="00E22FB0"/>
    <w:rsid w:val="00E523FD"/>
    <w:rsid w:val="00E56BB1"/>
    <w:rsid w:val="00E5706F"/>
    <w:rsid w:val="00E87C84"/>
    <w:rsid w:val="00E91A7F"/>
    <w:rsid w:val="00EA060B"/>
    <w:rsid w:val="00EA114B"/>
    <w:rsid w:val="00EC00B1"/>
    <w:rsid w:val="00F078BF"/>
    <w:rsid w:val="00F27841"/>
    <w:rsid w:val="00F46C10"/>
    <w:rsid w:val="00F71580"/>
    <w:rsid w:val="00F76D33"/>
    <w:rsid w:val="00F8147F"/>
    <w:rsid w:val="00F87788"/>
    <w:rsid w:val="00F907F6"/>
    <w:rsid w:val="00F9182D"/>
    <w:rsid w:val="00F96B23"/>
    <w:rsid w:val="00FC52CF"/>
    <w:rsid w:val="00FE4B17"/>
    <w:rsid w:val="00FF3AD3"/>
    <w:rsid w:val="00FF7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A558"/>
  <w15:chartTrackingRefBased/>
  <w15:docId w15:val="{5330890D-B015-45A9-BA96-28C5B072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1" w:unhideWhenUsed="1"/>
    <w:lsdException w:name="List Bullet" w:semiHidden="1" w:unhideWhenUsed="1"/>
    <w:lsdException w:name="List Number" w:semiHidden="1" w:unhideWhenUsed="1"/>
    <w:lsdException w:name="List 2" w:semiHidden="1" w:uiPriority="32" w:unhideWhenUsed="1"/>
    <w:lsdException w:name="List 3" w:semiHidden="1" w:uiPriority="32" w:unhideWhenUsed="1"/>
    <w:lsdException w:name="List 4" w:semiHidden="1" w:uiPriority="32" w:unhideWhenUsed="1"/>
    <w:lsdException w:name="List 5" w:semiHidden="1" w:uiPriority="3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Alt+N)"/>
    <w:qFormat/>
    <w:rsid w:val="00C03D2A"/>
    <w:rPr>
      <w:kern w:val="2"/>
    </w:rPr>
  </w:style>
  <w:style w:type="paragraph" w:styleId="Heading1">
    <w:name w:val="heading 1"/>
    <w:aliases w:val="Heading 1 (Ctrl+Alt+1)"/>
    <w:basedOn w:val="Normal"/>
    <w:next w:val="Normal2CtrlAltM"/>
    <w:link w:val="Heading1Char"/>
    <w:uiPriority w:val="9"/>
    <w:qFormat/>
    <w:rsid w:val="00C3280A"/>
    <w:pPr>
      <w:keepNext/>
      <w:numPr>
        <w:numId w:val="10"/>
      </w:numPr>
      <w:spacing w:after="120"/>
      <w:outlineLvl w:val="0"/>
    </w:pPr>
    <w:rPr>
      <w:rFonts w:eastAsiaTheme="majorEastAsia" w:cstheme="majorBidi"/>
      <w:b/>
      <w:bCs/>
      <w:szCs w:val="28"/>
      <w:u w:val="single"/>
    </w:rPr>
  </w:style>
  <w:style w:type="paragraph" w:styleId="Heading2">
    <w:name w:val="heading 2"/>
    <w:aliases w:val="Heading 2 (Ctrl+Alt+2)"/>
    <w:basedOn w:val="Normal"/>
    <w:next w:val="Normal3CtrlAlt"/>
    <w:link w:val="Heading2Char"/>
    <w:uiPriority w:val="9"/>
    <w:qFormat/>
    <w:rsid w:val="00C3280A"/>
    <w:pPr>
      <w:keepNext/>
      <w:numPr>
        <w:ilvl w:val="1"/>
        <w:numId w:val="10"/>
      </w:numPr>
      <w:spacing w:after="120"/>
      <w:outlineLvl w:val="1"/>
    </w:pPr>
    <w:rPr>
      <w:rFonts w:eastAsiaTheme="majorEastAsia" w:cstheme="majorBidi"/>
      <w:b/>
      <w:bCs/>
      <w:szCs w:val="26"/>
    </w:rPr>
  </w:style>
  <w:style w:type="paragraph" w:styleId="Heading3">
    <w:name w:val="heading 3"/>
    <w:aliases w:val="Heading 3 (Ctrl+Alt+3)"/>
    <w:basedOn w:val="Normal"/>
    <w:next w:val="Normal4CtrlAlt"/>
    <w:link w:val="Heading3Char"/>
    <w:uiPriority w:val="9"/>
    <w:qFormat/>
    <w:rsid w:val="00C3280A"/>
    <w:pPr>
      <w:keepNext/>
      <w:numPr>
        <w:ilvl w:val="2"/>
        <w:numId w:val="10"/>
      </w:numPr>
      <w:spacing w:after="120"/>
      <w:outlineLvl w:val="2"/>
    </w:pPr>
    <w:rPr>
      <w:rFonts w:eastAsiaTheme="majorEastAsia" w:cstheme="majorBidi"/>
      <w:b/>
      <w:bCs/>
    </w:rPr>
  </w:style>
  <w:style w:type="paragraph" w:styleId="Heading4">
    <w:name w:val="heading 4"/>
    <w:aliases w:val="Heading 4 (Ctrl+Alt+4)"/>
    <w:basedOn w:val="Normal"/>
    <w:next w:val="Normal5CtrlAlt"/>
    <w:link w:val="Heading4Char"/>
    <w:uiPriority w:val="9"/>
    <w:unhideWhenUsed/>
    <w:qFormat/>
    <w:rsid w:val="00C3280A"/>
    <w:pPr>
      <w:keepNext/>
      <w:keepLines/>
      <w:numPr>
        <w:ilvl w:val="3"/>
        <w:numId w:val="10"/>
      </w:numPr>
      <w:spacing w:after="120"/>
      <w:outlineLvl w:val="3"/>
    </w:pPr>
    <w:rPr>
      <w:rFonts w:eastAsiaTheme="majorEastAsia" w:cstheme="majorBidi"/>
      <w:b/>
      <w:bCs/>
      <w:iCs/>
      <w:kern w:val="0"/>
      <w:szCs w:val="22"/>
    </w:rPr>
  </w:style>
  <w:style w:type="paragraph" w:styleId="Heading5">
    <w:name w:val="heading 5"/>
    <w:aliases w:val="Heading 5 (Ctrl+Alt+5)"/>
    <w:basedOn w:val="Normal"/>
    <w:link w:val="Heading5Char"/>
    <w:uiPriority w:val="9"/>
    <w:semiHidden/>
    <w:unhideWhenUsed/>
    <w:qFormat/>
    <w:rsid w:val="00C3280A"/>
    <w:pPr>
      <w:keepNext/>
      <w:numPr>
        <w:ilvl w:val="4"/>
        <w:numId w:val="10"/>
      </w:numPr>
      <w:spacing w:after="120"/>
      <w:outlineLvl w:val="4"/>
    </w:pPr>
    <w:rPr>
      <w:rFonts w:eastAsiaTheme="majorEastAsia" w:cstheme="majorBidi"/>
      <w:b/>
    </w:rPr>
  </w:style>
  <w:style w:type="paragraph" w:styleId="Heading6">
    <w:name w:val="heading 6"/>
    <w:aliases w:val="Heading 6 (Ctrl+Alt+6)"/>
    <w:basedOn w:val="Normal"/>
    <w:link w:val="Heading6Char"/>
    <w:uiPriority w:val="9"/>
    <w:semiHidden/>
    <w:unhideWhenUsed/>
    <w:qFormat/>
    <w:rsid w:val="00C3280A"/>
    <w:pPr>
      <w:keepNext/>
      <w:numPr>
        <w:ilvl w:val="5"/>
        <w:numId w:val="10"/>
      </w:numPr>
      <w:spacing w:after="120"/>
      <w:outlineLvl w:val="5"/>
    </w:pPr>
    <w:rPr>
      <w:rFonts w:eastAsiaTheme="majorEastAsia" w:cstheme="majorBidi"/>
      <w:b/>
      <w:iCs/>
    </w:rPr>
  </w:style>
  <w:style w:type="paragraph" w:styleId="Heading7">
    <w:name w:val="heading 7"/>
    <w:aliases w:val="Heading 7 (Ctrl+Alt+7)"/>
    <w:basedOn w:val="Normal"/>
    <w:link w:val="Heading7Char"/>
    <w:uiPriority w:val="9"/>
    <w:semiHidden/>
    <w:unhideWhenUsed/>
    <w:qFormat/>
    <w:rsid w:val="00C3280A"/>
    <w:pPr>
      <w:keepNext/>
      <w:numPr>
        <w:ilvl w:val="6"/>
        <w:numId w:val="10"/>
      </w:numPr>
      <w:spacing w:after="120"/>
      <w:outlineLvl w:val="6"/>
    </w:pPr>
    <w:rPr>
      <w:rFonts w:eastAsiaTheme="majorEastAsia" w:cstheme="majorBidi"/>
      <w:b/>
      <w:iCs/>
    </w:rPr>
  </w:style>
  <w:style w:type="paragraph" w:styleId="Heading8">
    <w:name w:val="heading 8"/>
    <w:aliases w:val="Heading 8 (Ctrl+Alt+8)"/>
    <w:basedOn w:val="Normal"/>
    <w:link w:val="Heading8Char"/>
    <w:uiPriority w:val="9"/>
    <w:semiHidden/>
    <w:unhideWhenUsed/>
    <w:qFormat/>
    <w:rsid w:val="00C3280A"/>
    <w:pPr>
      <w:keepNext/>
      <w:numPr>
        <w:ilvl w:val="7"/>
        <w:numId w:val="10"/>
      </w:numPr>
      <w:spacing w:after="120"/>
      <w:outlineLvl w:val="7"/>
    </w:pPr>
    <w:rPr>
      <w:rFonts w:eastAsiaTheme="majorEastAsia" w:cstheme="majorBidi"/>
      <w:b/>
      <w:szCs w:val="20"/>
    </w:rPr>
  </w:style>
  <w:style w:type="paragraph" w:styleId="Heading9">
    <w:name w:val="heading 9"/>
    <w:aliases w:val="Heading 9 (Ctrl+Alt+9)"/>
    <w:basedOn w:val="Normal"/>
    <w:link w:val="Heading9Char"/>
    <w:uiPriority w:val="9"/>
    <w:semiHidden/>
    <w:unhideWhenUsed/>
    <w:qFormat/>
    <w:rsid w:val="00C3280A"/>
    <w:pPr>
      <w:keepNext/>
      <w:numPr>
        <w:ilvl w:val="8"/>
        <w:numId w:val="10"/>
      </w:numPr>
      <w:spacing w:after="12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istCtrlAltShift1">
    <w:name w:val="Alt List (Ctrl+Alt+Shift+1)"/>
    <w:basedOn w:val="Normal"/>
    <w:uiPriority w:val="33"/>
    <w:qFormat/>
    <w:rsid w:val="00C3280A"/>
    <w:pPr>
      <w:numPr>
        <w:numId w:val="1"/>
      </w:numPr>
    </w:pPr>
  </w:style>
  <w:style w:type="paragraph" w:customStyle="1" w:styleId="AltList2CtrlAltShift2">
    <w:name w:val="Alt List 2 (Ctrl+Alt+Shift+2)"/>
    <w:basedOn w:val="AltListCtrlAltShift1"/>
    <w:uiPriority w:val="33"/>
    <w:qFormat/>
    <w:rsid w:val="00C3280A"/>
    <w:pPr>
      <w:numPr>
        <w:ilvl w:val="1"/>
      </w:numPr>
    </w:pPr>
  </w:style>
  <w:style w:type="paragraph" w:customStyle="1" w:styleId="AltList3CtrlAltShift3">
    <w:name w:val="Alt List 3 (Ctrl+Alt+Shift+3)"/>
    <w:basedOn w:val="AltListCtrlAltShift1"/>
    <w:uiPriority w:val="33"/>
    <w:qFormat/>
    <w:rsid w:val="00C3280A"/>
    <w:pPr>
      <w:numPr>
        <w:ilvl w:val="2"/>
      </w:numPr>
    </w:pPr>
  </w:style>
  <w:style w:type="paragraph" w:customStyle="1" w:styleId="AltList4CtrlAltShift4">
    <w:name w:val="Alt List 4 (Ctrl+Alt+Shift+4)"/>
    <w:basedOn w:val="AltListCtrlAltShift1"/>
    <w:uiPriority w:val="33"/>
    <w:qFormat/>
    <w:rsid w:val="00C3280A"/>
    <w:pPr>
      <w:numPr>
        <w:ilvl w:val="3"/>
      </w:numPr>
    </w:pPr>
  </w:style>
  <w:style w:type="character" w:customStyle="1" w:styleId="Heading1Char">
    <w:name w:val="Heading 1 Char"/>
    <w:aliases w:val="Heading 1 (Ctrl+Alt+1) Char"/>
    <w:basedOn w:val="DefaultParagraphFont"/>
    <w:link w:val="Heading1"/>
    <w:uiPriority w:val="9"/>
    <w:rsid w:val="00C3280A"/>
    <w:rPr>
      <w:rFonts w:eastAsiaTheme="majorEastAsia" w:cstheme="majorBidi"/>
      <w:b/>
      <w:bCs/>
      <w:kern w:val="2"/>
      <w:szCs w:val="28"/>
      <w:u w:val="single"/>
    </w:rPr>
  </w:style>
  <w:style w:type="character" w:customStyle="1" w:styleId="Heading2Char">
    <w:name w:val="Heading 2 Char"/>
    <w:aliases w:val="Heading 2 (Ctrl+Alt+2) Char"/>
    <w:basedOn w:val="DefaultParagraphFont"/>
    <w:link w:val="Heading2"/>
    <w:uiPriority w:val="9"/>
    <w:rsid w:val="00C3280A"/>
    <w:rPr>
      <w:rFonts w:eastAsiaTheme="majorEastAsia" w:cstheme="majorBidi"/>
      <w:b/>
      <w:bCs/>
      <w:kern w:val="2"/>
      <w:szCs w:val="26"/>
    </w:rPr>
  </w:style>
  <w:style w:type="character" w:customStyle="1" w:styleId="Heading3Char">
    <w:name w:val="Heading 3 Char"/>
    <w:aliases w:val="Heading 3 (Ctrl+Alt+3) Char"/>
    <w:basedOn w:val="DefaultParagraphFont"/>
    <w:link w:val="Heading3"/>
    <w:uiPriority w:val="9"/>
    <w:rsid w:val="00C3280A"/>
    <w:rPr>
      <w:rFonts w:eastAsiaTheme="majorEastAsia" w:cstheme="majorBidi"/>
      <w:b/>
      <w:bCs/>
      <w:kern w:val="2"/>
    </w:rPr>
  </w:style>
  <w:style w:type="character" w:customStyle="1" w:styleId="Heading4Char">
    <w:name w:val="Heading 4 Char"/>
    <w:aliases w:val="Heading 4 (Ctrl+Alt+4) Char"/>
    <w:basedOn w:val="DefaultParagraphFont"/>
    <w:link w:val="Heading4"/>
    <w:uiPriority w:val="9"/>
    <w:rsid w:val="0093185A"/>
    <w:rPr>
      <w:rFonts w:eastAsiaTheme="majorEastAsia" w:cstheme="majorBidi"/>
      <w:b/>
      <w:bCs/>
      <w:iCs/>
      <w:szCs w:val="22"/>
    </w:rPr>
  </w:style>
  <w:style w:type="character" w:customStyle="1" w:styleId="Heading5Char">
    <w:name w:val="Heading 5 Char"/>
    <w:aliases w:val="Heading 5 (Ctrl+Alt+5) Char"/>
    <w:basedOn w:val="DefaultParagraphFont"/>
    <w:link w:val="Heading5"/>
    <w:uiPriority w:val="9"/>
    <w:semiHidden/>
    <w:rsid w:val="00C3280A"/>
    <w:rPr>
      <w:rFonts w:eastAsiaTheme="majorEastAsia" w:cstheme="majorBidi"/>
      <w:b/>
      <w:kern w:val="2"/>
    </w:rPr>
  </w:style>
  <w:style w:type="character" w:customStyle="1" w:styleId="Heading6Char">
    <w:name w:val="Heading 6 Char"/>
    <w:aliases w:val="Heading 6 (Ctrl+Alt+6) Char"/>
    <w:basedOn w:val="DefaultParagraphFont"/>
    <w:link w:val="Heading6"/>
    <w:uiPriority w:val="9"/>
    <w:semiHidden/>
    <w:rsid w:val="00C3280A"/>
    <w:rPr>
      <w:rFonts w:eastAsiaTheme="majorEastAsia" w:cstheme="majorBidi"/>
      <w:b/>
      <w:iCs/>
      <w:kern w:val="2"/>
    </w:rPr>
  </w:style>
  <w:style w:type="character" w:customStyle="1" w:styleId="Heading7Char">
    <w:name w:val="Heading 7 Char"/>
    <w:aliases w:val="Heading 7 (Ctrl+Alt+7) Char"/>
    <w:basedOn w:val="DefaultParagraphFont"/>
    <w:link w:val="Heading7"/>
    <w:uiPriority w:val="9"/>
    <w:semiHidden/>
    <w:rsid w:val="00C3280A"/>
    <w:rPr>
      <w:rFonts w:eastAsiaTheme="majorEastAsia" w:cstheme="majorBidi"/>
      <w:b/>
      <w:iCs/>
      <w:kern w:val="2"/>
    </w:rPr>
  </w:style>
  <w:style w:type="character" w:customStyle="1" w:styleId="Heading8Char">
    <w:name w:val="Heading 8 Char"/>
    <w:aliases w:val="Heading 8 (Ctrl+Alt+8) Char"/>
    <w:basedOn w:val="DefaultParagraphFont"/>
    <w:link w:val="Heading8"/>
    <w:uiPriority w:val="9"/>
    <w:semiHidden/>
    <w:rsid w:val="00C3280A"/>
    <w:rPr>
      <w:rFonts w:eastAsiaTheme="majorEastAsia" w:cstheme="majorBidi"/>
      <w:b/>
      <w:kern w:val="2"/>
      <w:szCs w:val="20"/>
    </w:rPr>
  </w:style>
  <w:style w:type="character" w:customStyle="1" w:styleId="Heading9Char">
    <w:name w:val="Heading 9 Char"/>
    <w:aliases w:val="Heading 9 (Ctrl+Alt+9) Char"/>
    <w:basedOn w:val="DefaultParagraphFont"/>
    <w:link w:val="Heading9"/>
    <w:uiPriority w:val="9"/>
    <w:semiHidden/>
    <w:rsid w:val="00C3280A"/>
    <w:rPr>
      <w:rFonts w:eastAsiaTheme="majorEastAsia" w:cstheme="majorBidi"/>
      <w:b/>
      <w:iCs/>
      <w:kern w:val="2"/>
      <w:szCs w:val="20"/>
    </w:rPr>
  </w:style>
  <w:style w:type="numbering" w:styleId="ArticleSection">
    <w:name w:val="Outline List 3"/>
    <w:basedOn w:val="NoList"/>
    <w:uiPriority w:val="99"/>
    <w:semiHidden/>
    <w:unhideWhenUsed/>
    <w:rsid w:val="00C3280A"/>
    <w:pPr>
      <w:numPr>
        <w:numId w:val="2"/>
      </w:numPr>
    </w:pPr>
  </w:style>
  <w:style w:type="paragraph" w:styleId="BalloonText">
    <w:name w:val="Balloon Text"/>
    <w:basedOn w:val="Normal"/>
    <w:link w:val="BalloonTextChar"/>
    <w:uiPriority w:val="99"/>
    <w:semiHidden/>
    <w:unhideWhenUsed/>
    <w:rsid w:val="00C328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0A"/>
    <w:rPr>
      <w:rFonts w:ascii="Tahoma" w:hAnsi="Tahoma" w:cs="Tahoma"/>
      <w:kern w:val="2"/>
      <w:sz w:val="16"/>
      <w:szCs w:val="16"/>
    </w:rPr>
  </w:style>
  <w:style w:type="paragraph" w:styleId="Bibliography">
    <w:name w:val="Bibliography"/>
    <w:basedOn w:val="Normal"/>
    <w:next w:val="Normal"/>
    <w:uiPriority w:val="37"/>
    <w:semiHidden/>
    <w:unhideWhenUsed/>
    <w:rsid w:val="00C3280A"/>
  </w:style>
  <w:style w:type="paragraph" w:styleId="BlockText">
    <w:name w:val="Block Text"/>
    <w:basedOn w:val="Normal"/>
    <w:uiPriority w:val="99"/>
    <w:semiHidden/>
    <w:unhideWhenUsed/>
    <w:rsid w:val="00C3280A"/>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styleId="BodyText">
    <w:name w:val="Body Text"/>
    <w:basedOn w:val="Normal"/>
    <w:link w:val="BodyTextChar"/>
    <w:uiPriority w:val="99"/>
    <w:semiHidden/>
    <w:unhideWhenUsed/>
    <w:rsid w:val="00C3280A"/>
    <w:pPr>
      <w:spacing w:after="120"/>
    </w:pPr>
  </w:style>
  <w:style w:type="character" w:customStyle="1" w:styleId="BodyTextChar">
    <w:name w:val="Body Text Char"/>
    <w:basedOn w:val="DefaultParagraphFont"/>
    <w:link w:val="BodyText"/>
    <w:uiPriority w:val="99"/>
    <w:semiHidden/>
    <w:rsid w:val="00C3280A"/>
    <w:rPr>
      <w:rFonts w:ascii="Garamond" w:hAnsi="Garamond"/>
      <w:kern w:val="2"/>
      <w:sz w:val="24"/>
      <w:szCs w:val="24"/>
    </w:rPr>
  </w:style>
  <w:style w:type="paragraph" w:styleId="BodyText2">
    <w:name w:val="Body Text 2"/>
    <w:basedOn w:val="Normal"/>
    <w:link w:val="BodyText2Char"/>
    <w:uiPriority w:val="99"/>
    <w:semiHidden/>
    <w:unhideWhenUsed/>
    <w:rsid w:val="00C3280A"/>
    <w:pPr>
      <w:spacing w:after="120" w:line="480" w:lineRule="auto"/>
    </w:pPr>
  </w:style>
  <w:style w:type="character" w:customStyle="1" w:styleId="BodyText2Char">
    <w:name w:val="Body Text 2 Char"/>
    <w:basedOn w:val="DefaultParagraphFont"/>
    <w:link w:val="BodyText2"/>
    <w:uiPriority w:val="99"/>
    <w:semiHidden/>
    <w:rsid w:val="00C3280A"/>
    <w:rPr>
      <w:rFonts w:ascii="Garamond" w:hAnsi="Garamond"/>
      <w:kern w:val="2"/>
      <w:sz w:val="24"/>
      <w:szCs w:val="24"/>
    </w:rPr>
  </w:style>
  <w:style w:type="paragraph" w:styleId="BodyText3">
    <w:name w:val="Body Text 3"/>
    <w:basedOn w:val="Normal"/>
    <w:link w:val="BodyText3Char"/>
    <w:uiPriority w:val="99"/>
    <w:semiHidden/>
    <w:unhideWhenUsed/>
    <w:rsid w:val="00C3280A"/>
    <w:pPr>
      <w:spacing w:after="120"/>
    </w:pPr>
    <w:rPr>
      <w:sz w:val="16"/>
      <w:szCs w:val="16"/>
    </w:rPr>
  </w:style>
  <w:style w:type="character" w:customStyle="1" w:styleId="BodyText3Char">
    <w:name w:val="Body Text 3 Char"/>
    <w:basedOn w:val="DefaultParagraphFont"/>
    <w:link w:val="BodyText3"/>
    <w:uiPriority w:val="99"/>
    <w:semiHidden/>
    <w:rsid w:val="00C3280A"/>
    <w:rPr>
      <w:rFonts w:ascii="Garamond" w:hAnsi="Garamond"/>
      <w:kern w:val="2"/>
      <w:sz w:val="16"/>
      <w:szCs w:val="16"/>
    </w:rPr>
  </w:style>
  <w:style w:type="paragraph" w:styleId="BodyTextFirstIndent">
    <w:name w:val="Body Text First Indent"/>
    <w:basedOn w:val="BodyText"/>
    <w:link w:val="BodyTextFirstIndentChar"/>
    <w:uiPriority w:val="99"/>
    <w:semiHidden/>
    <w:unhideWhenUsed/>
    <w:rsid w:val="00C3280A"/>
    <w:pPr>
      <w:spacing w:after="200"/>
      <w:ind w:firstLine="360"/>
    </w:pPr>
  </w:style>
  <w:style w:type="character" w:customStyle="1" w:styleId="BodyTextFirstIndentChar">
    <w:name w:val="Body Text First Indent Char"/>
    <w:basedOn w:val="BodyTextChar"/>
    <w:link w:val="BodyTextFirstIndent"/>
    <w:uiPriority w:val="99"/>
    <w:semiHidden/>
    <w:rsid w:val="00C3280A"/>
    <w:rPr>
      <w:rFonts w:ascii="Garamond" w:hAnsi="Garamond"/>
      <w:kern w:val="2"/>
      <w:sz w:val="24"/>
      <w:szCs w:val="24"/>
    </w:rPr>
  </w:style>
  <w:style w:type="paragraph" w:styleId="BodyTextIndent">
    <w:name w:val="Body Text Indent"/>
    <w:basedOn w:val="Normal"/>
    <w:link w:val="BodyTextIndentChar"/>
    <w:uiPriority w:val="99"/>
    <w:semiHidden/>
    <w:unhideWhenUsed/>
    <w:rsid w:val="00C3280A"/>
    <w:pPr>
      <w:spacing w:after="120"/>
      <w:ind w:left="360"/>
    </w:pPr>
  </w:style>
  <w:style w:type="character" w:customStyle="1" w:styleId="BodyTextIndentChar">
    <w:name w:val="Body Text Indent Char"/>
    <w:basedOn w:val="DefaultParagraphFont"/>
    <w:link w:val="BodyTextIndent"/>
    <w:uiPriority w:val="99"/>
    <w:semiHidden/>
    <w:rsid w:val="00C3280A"/>
    <w:rPr>
      <w:rFonts w:ascii="Garamond" w:hAnsi="Garamond"/>
      <w:kern w:val="2"/>
      <w:sz w:val="24"/>
      <w:szCs w:val="24"/>
    </w:rPr>
  </w:style>
  <w:style w:type="paragraph" w:styleId="BodyTextFirstIndent2">
    <w:name w:val="Body Text First Indent 2"/>
    <w:basedOn w:val="BodyTextIndent"/>
    <w:link w:val="BodyTextFirstIndent2Char"/>
    <w:uiPriority w:val="99"/>
    <w:semiHidden/>
    <w:unhideWhenUsed/>
    <w:rsid w:val="00C3280A"/>
    <w:pPr>
      <w:spacing w:after="200"/>
      <w:ind w:firstLine="360"/>
    </w:pPr>
  </w:style>
  <w:style w:type="character" w:customStyle="1" w:styleId="BodyTextFirstIndent2Char">
    <w:name w:val="Body Text First Indent 2 Char"/>
    <w:basedOn w:val="BodyTextIndentChar"/>
    <w:link w:val="BodyTextFirstIndent2"/>
    <w:uiPriority w:val="99"/>
    <w:semiHidden/>
    <w:rsid w:val="00C3280A"/>
    <w:rPr>
      <w:rFonts w:ascii="Garamond" w:hAnsi="Garamond"/>
      <w:kern w:val="2"/>
      <w:sz w:val="24"/>
      <w:szCs w:val="24"/>
    </w:rPr>
  </w:style>
  <w:style w:type="paragraph" w:styleId="BodyTextIndent2">
    <w:name w:val="Body Text Indent 2"/>
    <w:basedOn w:val="Normal"/>
    <w:link w:val="BodyTextIndent2Char"/>
    <w:uiPriority w:val="99"/>
    <w:semiHidden/>
    <w:unhideWhenUsed/>
    <w:rsid w:val="00C3280A"/>
    <w:pPr>
      <w:spacing w:after="120" w:line="480" w:lineRule="auto"/>
      <w:ind w:left="360"/>
    </w:pPr>
  </w:style>
  <w:style w:type="character" w:customStyle="1" w:styleId="BodyTextIndent2Char">
    <w:name w:val="Body Text Indent 2 Char"/>
    <w:basedOn w:val="DefaultParagraphFont"/>
    <w:link w:val="BodyTextIndent2"/>
    <w:uiPriority w:val="99"/>
    <w:semiHidden/>
    <w:rsid w:val="00C3280A"/>
    <w:rPr>
      <w:rFonts w:ascii="Garamond" w:hAnsi="Garamond"/>
      <w:kern w:val="2"/>
      <w:sz w:val="24"/>
      <w:szCs w:val="24"/>
    </w:rPr>
  </w:style>
  <w:style w:type="paragraph" w:styleId="BodyTextIndent3">
    <w:name w:val="Body Text Indent 3"/>
    <w:basedOn w:val="Normal"/>
    <w:link w:val="BodyTextIndent3Char"/>
    <w:uiPriority w:val="99"/>
    <w:semiHidden/>
    <w:unhideWhenUsed/>
    <w:rsid w:val="00C328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80A"/>
    <w:rPr>
      <w:rFonts w:ascii="Garamond" w:hAnsi="Garamond"/>
      <w:kern w:val="2"/>
      <w:sz w:val="16"/>
      <w:szCs w:val="16"/>
    </w:rPr>
  </w:style>
  <w:style w:type="character" w:styleId="BookTitle">
    <w:name w:val="Book Title"/>
    <w:basedOn w:val="DefaultParagraphFont"/>
    <w:uiPriority w:val="33"/>
    <w:semiHidden/>
    <w:qFormat/>
    <w:rsid w:val="00C3280A"/>
    <w:rPr>
      <w:b/>
      <w:bCs/>
      <w:smallCaps/>
      <w:color w:val="auto"/>
      <w:spacing w:val="5"/>
    </w:rPr>
  </w:style>
  <w:style w:type="paragraph" w:styleId="Caption">
    <w:name w:val="caption"/>
    <w:basedOn w:val="Normal"/>
    <w:next w:val="Normal"/>
    <w:uiPriority w:val="35"/>
    <w:semiHidden/>
    <w:qFormat/>
    <w:rsid w:val="00C3280A"/>
    <w:rPr>
      <w:b/>
      <w:bCs/>
      <w:sz w:val="18"/>
      <w:szCs w:val="18"/>
    </w:rPr>
  </w:style>
  <w:style w:type="paragraph" w:styleId="Closing">
    <w:name w:val="Closing"/>
    <w:basedOn w:val="Normal"/>
    <w:link w:val="ClosingChar"/>
    <w:uiPriority w:val="99"/>
    <w:semiHidden/>
    <w:unhideWhenUsed/>
    <w:rsid w:val="00C3280A"/>
    <w:pPr>
      <w:spacing w:after="0"/>
      <w:ind w:left="4320"/>
    </w:pPr>
  </w:style>
  <w:style w:type="character" w:customStyle="1" w:styleId="ClosingChar">
    <w:name w:val="Closing Char"/>
    <w:basedOn w:val="DefaultParagraphFont"/>
    <w:link w:val="Closing"/>
    <w:uiPriority w:val="99"/>
    <w:semiHidden/>
    <w:rsid w:val="00C3280A"/>
    <w:rPr>
      <w:rFonts w:ascii="Garamond" w:hAnsi="Garamond"/>
      <w:kern w:val="2"/>
      <w:sz w:val="24"/>
      <w:szCs w:val="24"/>
    </w:rPr>
  </w:style>
  <w:style w:type="table" w:styleId="ColorfulGrid-Accent1">
    <w:name w:val="Colorful Grid Accent 1"/>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C3280A"/>
    <w:pPr>
      <w:spacing w:after="0"/>
    </w:pPr>
    <w:rPr>
      <w:color w:val="000000" w:themeColor="text1"/>
      <w:kern w:val="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C3280A"/>
    <w:pPr>
      <w:spacing w:after="0"/>
    </w:pPr>
    <w:rPr>
      <w:color w:val="000000" w:themeColor="text1"/>
      <w:kern w:val="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3280A"/>
    <w:pPr>
      <w:spacing w:after="0"/>
    </w:pPr>
    <w:rPr>
      <w:color w:val="000000" w:themeColor="text1"/>
      <w:kern w:val="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3280A"/>
    <w:pPr>
      <w:spacing w:after="0"/>
    </w:pPr>
    <w:rPr>
      <w:color w:val="000000" w:themeColor="text1"/>
      <w:kern w:val="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3280A"/>
    <w:pPr>
      <w:spacing w:after="0"/>
    </w:pPr>
    <w:rPr>
      <w:color w:val="000000" w:themeColor="text1"/>
      <w:kern w:val="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3280A"/>
    <w:pPr>
      <w:spacing w:after="0"/>
    </w:pPr>
    <w:rPr>
      <w:color w:val="000000" w:themeColor="text1"/>
      <w:kern w:val="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3280A"/>
    <w:pPr>
      <w:spacing w:after="0"/>
    </w:pPr>
    <w:rPr>
      <w:color w:val="000000" w:themeColor="text1"/>
      <w:kern w:val="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C3280A"/>
    <w:pPr>
      <w:spacing w:after="0"/>
    </w:pPr>
    <w:rPr>
      <w:color w:val="000000" w:themeColor="text1"/>
      <w:kern w:val="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C3280A"/>
    <w:pPr>
      <w:spacing w:after="0"/>
    </w:pPr>
    <w:rPr>
      <w:color w:val="000000" w:themeColor="text1"/>
      <w:kern w:val="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3280A"/>
    <w:pPr>
      <w:spacing w:after="0"/>
    </w:pPr>
    <w:rPr>
      <w:color w:val="000000" w:themeColor="text1"/>
      <w:kern w:val="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3280A"/>
    <w:pPr>
      <w:spacing w:after="0"/>
    </w:pPr>
    <w:rPr>
      <w:color w:val="000000" w:themeColor="text1"/>
      <w:kern w:val="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3280A"/>
    <w:pPr>
      <w:spacing w:after="0"/>
    </w:pPr>
    <w:rPr>
      <w:color w:val="000000" w:themeColor="text1"/>
      <w:kern w:val="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3280A"/>
    <w:pPr>
      <w:spacing w:after="0"/>
    </w:pPr>
    <w:rPr>
      <w:color w:val="000000" w:themeColor="text1"/>
      <w:kern w:val="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3280A"/>
    <w:pPr>
      <w:spacing w:after="0"/>
    </w:pPr>
    <w:rPr>
      <w:color w:val="000000" w:themeColor="text1"/>
      <w:kern w:val="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C3280A"/>
    <w:pPr>
      <w:spacing w:after="0"/>
    </w:pPr>
    <w:rPr>
      <w:color w:val="000000" w:themeColor="text1"/>
      <w:kern w:val="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3280A"/>
    <w:rPr>
      <w:sz w:val="16"/>
      <w:szCs w:val="16"/>
    </w:rPr>
  </w:style>
  <w:style w:type="paragraph" w:styleId="CommentText">
    <w:name w:val="annotation text"/>
    <w:basedOn w:val="Normal"/>
    <w:link w:val="CommentTextChar"/>
    <w:uiPriority w:val="99"/>
    <w:semiHidden/>
    <w:unhideWhenUsed/>
    <w:rsid w:val="00C3280A"/>
    <w:rPr>
      <w:sz w:val="20"/>
      <w:szCs w:val="20"/>
    </w:rPr>
  </w:style>
  <w:style w:type="character" w:customStyle="1" w:styleId="CommentTextChar">
    <w:name w:val="Comment Text Char"/>
    <w:basedOn w:val="DefaultParagraphFont"/>
    <w:link w:val="CommentText"/>
    <w:uiPriority w:val="99"/>
    <w:semiHidden/>
    <w:rsid w:val="00C3280A"/>
    <w:rPr>
      <w:rFonts w:ascii="Garamond" w:hAnsi="Garamond"/>
      <w:kern w:val="2"/>
      <w:sz w:val="20"/>
      <w:szCs w:val="20"/>
    </w:rPr>
  </w:style>
  <w:style w:type="paragraph" w:styleId="CommentSubject">
    <w:name w:val="annotation subject"/>
    <w:basedOn w:val="CommentText"/>
    <w:next w:val="CommentText"/>
    <w:link w:val="CommentSubjectChar"/>
    <w:uiPriority w:val="99"/>
    <w:semiHidden/>
    <w:unhideWhenUsed/>
    <w:rsid w:val="00C3280A"/>
    <w:rPr>
      <w:b/>
      <w:bCs/>
    </w:rPr>
  </w:style>
  <w:style w:type="character" w:customStyle="1" w:styleId="CommentSubjectChar">
    <w:name w:val="Comment Subject Char"/>
    <w:basedOn w:val="CommentTextChar"/>
    <w:link w:val="CommentSubject"/>
    <w:uiPriority w:val="99"/>
    <w:semiHidden/>
    <w:rsid w:val="00C3280A"/>
    <w:rPr>
      <w:rFonts w:ascii="Garamond" w:hAnsi="Garamond"/>
      <w:b/>
      <w:bCs/>
      <w:kern w:val="2"/>
      <w:sz w:val="20"/>
      <w:szCs w:val="20"/>
    </w:rPr>
  </w:style>
  <w:style w:type="table" w:styleId="DarkList-Accent1">
    <w:name w:val="Dark List Accent 1"/>
    <w:basedOn w:val="TableNormal"/>
    <w:uiPriority w:val="70"/>
    <w:rsid w:val="00C3280A"/>
    <w:pPr>
      <w:spacing w:after="0"/>
    </w:pPr>
    <w:rPr>
      <w:color w:val="FFFFFF" w:themeColor="background1"/>
      <w:kern w:val="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3280A"/>
    <w:pPr>
      <w:spacing w:after="0"/>
    </w:pPr>
    <w:rPr>
      <w:color w:val="FFFFFF" w:themeColor="background1"/>
      <w:kern w:val="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3280A"/>
    <w:pPr>
      <w:spacing w:after="0"/>
    </w:pPr>
    <w:rPr>
      <w:color w:val="FFFFFF" w:themeColor="background1"/>
      <w:kern w:val="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3280A"/>
    <w:pPr>
      <w:spacing w:after="0"/>
    </w:pPr>
    <w:rPr>
      <w:color w:val="FFFFFF" w:themeColor="background1"/>
      <w:kern w:val="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3280A"/>
    <w:pPr>
      <w:spacing w:after="0"/>
    </w:pPr>
    <w:rPr>
      <w:color w:val="FFFFFF" w:themeColor="background1"/>
      <w:kern w:val="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3280A"/>
    <w:pPr>
      <w:spacing w:after="0"/>
    </w:pPr>
    <w:rPr>
      <w:color w:val="FFFFFF" w:themeColor="background1"/>
      <w:kern w:val="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C3280A"/>
    <w:pPr>
      <w:spacing w:after="0"/>
    </w:pPr>
    <w:rPr>
      <w:color w:val="FFFFFF" w:themeColor="background1"/>
      <w:kern w:val="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semiHidden/>
    <w:unhideWhenUsed/>
    <w:rsid w:val="00C3280A"/>
  </w:style>
  <w:style w:type="character" w:customStyle="1" w:styleId="DateChar">
    <w:name w:val="Date Char"/>
    <w:basedOn w:val="DefaultParagraphFont"/>
    <w:link w:val="Date"/>
    <w:uiPriority w:val="99"/>
    <w:semiHidden/>
    <w:rsid w:val="00C3280A"/>
    <w:rPr>
      <w:rFonts w:ascii="Garamond" w:hAnsi="Garamond"/>
      <w:kern w:val="2"/>
      <w:sz w:val="24"/>
      <w:szCs w:val="24"/>
    </w:rPr>
  </w:style>
  <w:style w:type="paragraph" w:styleId="DocumentMap">
    <w:name w:val="Document Map"/>
    <w:basedOn w:val="Normal"/>
    <w:link w:val="DocumentMapChar"/>
    <w:uiPriority w:val="99"/>
    <w:semiHidden/>
    <w:unhideWhenUsed/>
    <w:rsid w:val="00C3280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280A"/>
    <w:rPr>
      <w:rFonts w:ascii="Tahoma" w:hAnsi="Tahoma" w:cs="Tahoma"/>
      <w:kern w:val="2"/>
      <w:sz w:val="16"/>
      <w:szCs w:val="16"/>
    </w:rPr>
  </w:style>
  <w:style w:type="paragraph" w:styleId="E-mailSignature">
    <w:name w:val="E-mail Signature"/>
    <w:basedOn w:val="Normal"/>
    <w:link w:val="E-mailSignatureChar"/>
    <w:uiPriority w:val="99"/>
    <w:semiHidden/>
    <w:unhideWhenUsed/>
    <w:rsid w:val="00C3280A"/>
    <w:pPr>
      <w:spacing w:after="0"/>
    </w:pPr>
  </w:style>
  <w:style w:type="character" w:customStyle="1" w:styleId="E-mailSignatureChar">
    <w:name w:val="E-mail Signature Char"/>
    <w:basedOn w:val="DefaultParagraphFont"/>
    <w:link w:val="E-mailSignature"/>
    <w:uiPriority w:val="99"/>
    <w:semiHidden/>
    <w:rsid w:val="00C3280A"/>
    <w:rPr>
      <w:rFonts w:ascii="Garamond" w:hAnsi="Garamond"/>
      <w:kern w:val="2"/>
      <w:sz w:val="24"/>
      <w:szCs w:val="24"/>
    </w:rPr>
  </w:style>
  <w:style w:type="character" w:styleId="Emphasis">
    <w:name w:val="Emphasis"/>
    <w:aliases w:val="Emphasis (Alt+Shift+U)"/>
    <w:basedOn w:val="DefaultParagraphFont"/>
    <w:uiPriority w:val="20"/>
    <w:qFormat/>
    <w:rsid w:val="00C3280A"/>
    <w:rPr>
      <w:iCs/>
      <w:u w:val="single"/>
    </w:rPr>
  </w:style>
  <w:style w:type="character" w:styleId="EndnoteReference">
    <w:name w:val="endnote reference"/>
    <w:basedOn w:val="DefaultParagraphFont"/>
    <w:uiPriority w:val="99"/>
    <w:semiHidden/>
    <w:unhideWhenUsed/>
    <w:rsid w:val="00C3280A"/>
    <w:rPr>
      <w:vertAlign w:val="baseline"/>
    </w:rPr>
  </w:style>
  <w:style w:type="paragraph" w:styleId="EndnoteText">
    <w:name w:val="endnote text"/>
    <w:basedOn w:val="Normal"/>
    <w:link w:val="EndnoteTextChar"/>
    <w:uiPriority w:val="99"/>
    <w:semiHidden/>
    <w:unhideWhenUsed/>
    <w:rsid w:val="00C3280A"/>
    <w:pPr>
      <w:ind w:left="720" w:hanging="720"/>
    </w:pPr>
    <w:rPr>
      <w:szCs w:val="20"/>
    </w:rPr>
  </w:style>
  <w:style w:type="character" w:customStyle="1" w:styleId="EndnoteTextChar">
    <w:name w:val="Endnote Text Char"/>
    <w:basedOn w:val="DefaultParagraphFont"/>
    <w:link w:val="EndnoteText"/>
    <w:uiPriority w:val="99"/>
    <w:semiHidden/>
    <w:rsid w:val="00C3280A"/>
    <w:rPr>
      <w:rFonts w:ascii="Garamond" w:hAnsi="Garamond"/>
      <w:kern w:val="2"/>
      <w:sz w:val="24"/>
      <w:szCs w:val="20"/>
    </w:rPr>
  </w:style>
  <w:style w:type="paragraph" w:styleId="EnvelopeAddress">
    <w:name w:val="envelope address"/>
    <w:basedOn w:val="Normal"/>
    <w:uiPriority w:val="99"/>
    <w:semiHidden/>
    <w:unhideWhenUsed/>
    <w:rsid w:val="00C3280A"/>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C3280A"/>
    <w:pPr>
      <w:spacing w:after="0"/>
    </w:pPr>
    <w:rPr>
      <w:rFonts w:eastAsiaTheme="majorEastAsia" w:cstheme="majorBidi"/>
      <w:sz w:val="20"/>
      <w:szCs w:val="20"/>
    </w:rPr>
  </w:style>
  <w:style w:type="character" w:customStyle="1" w:styleId="FileTrail">
    <w:name w:val="FileTrail"/>
    <w:basedOn w:val="DefaultParagraphFont"/>
    <w:uiPriority w:val="99"/>
    <w:semiHidden/>
    <w:unhideWhenUsed/>
    <w:rsid w:val="00C3280A"/>
    <w:rPr>
      <w:rFonts w:ascii="Garamond" w:hAnsi="Garamond"/>
      <w:sz w:val="8"/>
    </w:rPr>
  </w:style>
  <w:style w:type="character" w:styleId="FollowedHyperlink">
    <w:name w:val="FollowedHyperlink"/>
    <w:basedOn w:val="DefaultParagraphFont"/>
    <w:uiPriority w:val="99"/>
    <w:semiHidden/>
    <w:unhideWhenUsed/>
    <w:rsid w:val="00C3280A"/>
    <w:rPr>
      <w:color w:val="800080" w:themeColor="followedHyperlink"/>
      <w:u w:val="single"/>
    </w:rPr>
  </w:style>
  <w:style w:type="paragraph" w:styleId="Footer">
    <w:name w:val="footer"/>
    <w:basedOn w:val="Normal"/>
    <w:link w:val="FooterChar"/>
    <w:uiPriority w:val="99"/>
    <w:semiHidden/>
    <w:unhideWhenUsed/>
    <w:rsid w:val="00C3280A"/>
    <w:pPr>
      <w:tabs>
        <w:tab w:val="center" w:pos="4680"/>
        <w:tab w:val="right" w:pos="9360"/>
      </w:tabs>
      <w:spacing w:after="0"/>
    </w:pPr>
  </w:style>
  <w:style w:type="character" w:customStyle="1" w:styleId="FooterChar">
    <w:name w:val="Footer Char"/>
    <w:basedOn w:val="DefaultParagraphFont"/>
    <w:link w:val="Footer"/>
    <w:uiPriority w:val="99"/>
    <w:semiHidden/>
    <w:rsid w:val="00C3280A"/>
    <w:rPr>
      <w:rFonts w:ascii="Garamond" w:hAnsi="Garamond"/>
      <w:kern w:val="2"/>
      <w:sz w:val="24"/>
      <w:szCs w:val="24"/>
    </w:rPr>
  </w:style>
  <w:style w:type="character" w:styleId="FootnoteReference">
    <w:name w:val="footnote reference"/>
    <w:basedOn w:val="DefaultParagraphFont"/>
    <w:uiPriority w:val="99"/>
    <w:semiHidden/>
    <w:unhideWhenUsed/>
    <w:rsid w:val="00C3280A"/>
    <w:rPr>
      <w:vertAlign w:val="superscript"/>
    </w:rPr>
  </w:style>
  <w:style w:type="paragraph" w:styleId="FootnoteText">
    <w:name w:val="footnote text"/>
    <w:basedOn w:val="Normal"/>
    <w:link w:val="FootnoteTextChar"/>
    <w:uiPriority w:val="99"/>
    <w:semiHidden/>
    <w:unhideWhenUsed/>
    <w:rsid w:val="00C3280A"/>
    <w:pPr>
      <w:spacing w:after="0"/>
    </w:pPr>
    <w:rPr>
      <w:sz w:val="20"/>
      <w:szCs w:val="20"/>
    </w:rPr>
  </w:style>
  <w:style w:type="character" w:customStyle="1" w:styleId="FootnoteTextChar">
    <w:name w:val="Footnote Text Char"/>
    <w:basedOn w:val="DefaultParagraphFont"/>
    <w:link w:val="FootnoteText"/>
    <w:uiPriority w:val="99"/>
    <w:semiHidden/>
    <w:rsid w:val="00C3280A"/>
    <w:rPr>
      <w:rFonts w:ascii="Garamond" w:hAnsi="Garamond"/>
      <w:kern w:val="2"/>
      <w:sz w:val="20"/>
      <w:szCs w:val="20"/>
    </w:rPr>
  </w:style>
  <w:style w:type="paragraph" w:styleId="Header">
    <w:name w:val="header"/>
    <w:basedOn w:val="Normal"/>
    <w:link w:val="HeaderChar"/>
    <w:uiPriority w:val="99"/>
    <w:semiHidden/>
    <w:unhideWhenUsed/>
    <w:rsid w:val="00C3280A"/>
    <w:pPr>
      <w:tabs>
        <w:tab w:val="center" w:pos="4680"/>
        <w:tab w:val="right" w:pos="9360"/>
      </w:tabs>
      <w:spacing w:after="0"/>
    </w:pPr>
  </w:style>
  <w:style w:type="character" w:customStyle="1" w:styleId="HeaderChar">
    <w:name w:val="Header Char"/>
    <w:basedOn w:val="DefaultParagraphFont"/>
    <w:link w:val="Header"/>
    <w:uiPriority w:val="99"/>
    <w:semiHidden/>
    <w:rsid w:val="00C3280A"/>
    <w:rPr>
      <w:rFonts w:ascii="Garamond" w:hAnsi="Garamond"/>
      <w:kern w:val="2"/>
      <w:sz w:val="24"/>
      <w:szCs w:val="24"/>
    </w:rPr>
  </w:style>
  <w:style w:type="character" w:styleId="HTMLAcronym">
    <w:name w:val="HTML Acronym"/>
    <w:basedOn w:val="DefaultParagraphFont"/>
    <w:uiPriority w:val="99"/>
    <w:semiHidden/>
    <w:unhideWhenUsed/>
    <w:rsid w:val="00C3280A"/>
  </w:style>
  <w:style w:type="paragraph" w:styleId="HTMLAddress">
    <w:name w:val="HTML Address"/>
    <w:basedOn w:val="Normal"/>
    <w:link w:val="HTMLAddressChar"/>
    <w:uiPriority w:val="99"/>
    <w:semiHidden/>
    <w:unhideWhenUsed/>
    <w:rsid w:val="00C3280A"/>
    <w:pPr>
      <w:spacing w:after="0"/>
    </w:pPr>
    <w:rPr>
      <w:i/>
      <w:iCs/>
    </w:rPr>
  </w:style>
  <w:style w:type="character" w:customStyle="1" w:styleId="HTMLAddressChar">
    <w:name w:val="HTML Address Char"/>
    <w:basedOn w:val="DefaultParagraphFont"/>
    <w:link w:val="HTMLAddress"/>
    <w:uiPriority w:val="99"/>
    <w:semiHidden/>
    <w:rsid w:val="00C3280A"/>
    <w:rPr>
      <w:rFonts w:ascii="Garamond" w:hAnsi="Garamond"/>
      <w:i/>
      <w:iCs/>
      <w:kern w:val="2"/>
      <w:sz w:val="24"/>
      <w:szCs w:val="24"/>
    </w:rPr>
  </w:style>
  <w:style w:type="character" w:styleId="HTMLCite">
    <w:name w:val="HTML Cite"/>
    <w:basedOn w:val="DefaultParagraphFont"/>
    <w:uiPriority w:val="99"/>
    <w:semiHidden/>
    <w:unhideWhenUsed/>
    <w:rsid w:val="00C3280A"/>
    <w:rPr>
      <w:i/>
      <w:iCs/>
    </w:rPr>
  </w:style>
  <w:style w:type="character" w:styleId="HTMLCode">
    <w:name w:val="HTML Code"/>
    <w:basedOn w:val="DefaultParagraphFont"/>
    <w:uiPriority w:val="99"/>
    <w:semiHidden/>
    <w:unhideWhenUsed/>
    <w:rsid w:val="00C3280A"/>
    <w:rPr>
      <w:rFonts w:ascii="Consolas" w:hAnsi="Consolas"/>
      <w:sz w:val="20"/>
      <w:szCs w:val="20"/>
    </w:rPr>
  </w:style>
  <w:style w:type="character" w:styleId="HTMLDefinition">
    <w:name w:val="HTML Definition"/>
    <w:basedOn w:val="DefaultParagraphFont"/>
    <w:uiPriority w:val="99"/>
    <w:semiHidden/>
    <w:unhideWhenUsed/>
    <w:rsid w:val="00C3280A"/>
    <w:rPr>
      <w:i/>
      <w:iCs/>
    </w:rPr>
  </w:style>
  <w:style w:type="character" w:styleId="HTMLKeyboard">
    <w:name w:val="HTML Keyboard"/>
    <w:basedOn w:val="DefaultParagraphFont"/>
    <w:uiPriority w:val="99"/>
    <w:semiHidden/>
    <w:unhideWhenUsed/>
    <w:rsid w:val="00C3280A"/>
    <w:rPr>
      <w:rFonts w:ascii="Consolas" w:hAnsi="Consolas"/>
      <w:sz w:val="20"/>
      <w:szCs w:val="20"/>
    </w:rPr>
  </w:style>
  <w:style w:type="paragraph" w:styleId="HTMLPreformatted">
    <w:name w:val="HTML Preformatted"/>
    <w:basedOn w:val="Normal"/>
    <w:link w:val="HTMLPreformattedChar"/>
    <w:uiPriority w:val="99"/>
    <w:semiHidden/>
    <w:unhideWhenUsed/>
    <w:rsid w:val="00C3280A"/>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80A"/>
    <w:rPr>
      <w:rFonts w:ascii="Consolas" w:hAnsi="Consolas"/>
      <w:kern w:val="2"/>
      <w:sz w:val="20"/>
      <w:szCs w:val="20"/>
    </w:rPr>
  </w:style>
  <w:style w:type="character" w:styleId="HTMLSample">
    <w:name w:val="HTML Sample"/>
    <w:basedOn w:val="DefaultParagraphFont"/>
    <w:uiPriority w:val="99"/>
    <w:semiHidden/>
    <w:unhideWhenUsed/>
    <w:rsid w:val="00C3280A"/>
    <w:rPr>
      <w:rFonts w:ascii="Consolas" w:hAnsi="Consolas"/>
      <w:sz w:val="24"/>
      <w:szCs w:val="24"/>
    </w:rPr>
  </w:style>
  <w:style w:type="character" w:styleId="HTMLTypewriter">
    <w:name w:val="HTML Typewriter"/>
    <w:basedOn w:val="DefaultParagraphFont"/>
    <w:uiPriority w:val="99"/>
    <w:semiHidden/>
    <w:unhideWhenUsed/>
    <w:rsid w:val="00C3280A"/>
    <w:rPr>
      <w:rFonts w:ascii="Consolas" w:hAnsi="Consolas"/>
      <w:sz w:val="20"/>
      <w:szCs w:val="20"/>
    </w:rPr>
  </w:style>
  <w:style w:type="character" w:styleId="HTMLVariable">
    <w:name w:val="HTML Variable"/>
    <w:basedOn w:val="DefaultParagraphFont"/>
    <w:uiPriority w:val="99"/>
    <w:semiHidden/>
    <w:unhideWhenUsed/>
    <w:rsid w:val="00C3280A"/>
    <w:rPr>
      <w:i/>
      <w:iCs/>
    </w:rPr>
  </w:style>
  <w:style w:type="character" w:styleId="Hyperlink">
    <w:name w:val="Hyperlink"/>
    <w:basedOn w:val="DefaultParagraphFont"/>
    <w:uiPriority w:val="99"/>
    <w:unhideWhenUsed/>
    <w:rsid w:val="00C3280A"/>
    <w:rPr>
      <w:color w:val="0000FF" w:themeColor="hyperlink"/>
      <w:u w:val="single"/>
    </w:rPr>
  </w:style>
  <w:style w:type="paragraph" w:styleId="Index1">
    <w:name w:val="index 1"/>
    <w:basedOn w:val="Normal"/>
    <w:next w:val="Normal"/>
    <w:autoRedefine/>
    <w:uiPriority w:val="99"/>
    <w:semiHidden/>
    <w:unhideWhenUsed/>
    <w:rsid w:val="00C3280A"/>
    <w:pPr>
      <w:spacing w:after="0"/>
      <w:ind w:left="220" w:hanging="220"/>
    </w:pPr>
  </w:style>
  <w:style w:type="paragraph" w:styleId="Index2">
    <w:name w:val="index 2"/>
    <w:basedOn w:val="Normal"/>
    <w:next w:val="Normal"/>
    <w:autoRedefine/>
    <w:uiPriority w:val="99"/>
    <w:semiHidden/>
    <w:unhideWhenUsed/>
    <w:rsid w:val="00C3280A"/>
    <w:pPr>
      <w:spacing w:after="0"/>
      <w:ind w:left="440" w:hanging="220"/>
    </w:pPr>
  </w:style>
  <w:style w:type="paragraph" w:styleId="Index3">
    <w:name w:val="index 3"/>
    <w:basedOn w:val="Normal"/>
    <w:next w:val="Normal"/>
    <w:autoRedefine/>
    <w:uiPriority w:val="99"/>
    <w:semiHidden/>
    <w:unhideWhenUsed/>
    <w:rsid w:val="00C3280A"/>
    <w:pPr>
      <w:spacing w:after="0"/>
      <w:ind w:left="660" w:hanging="220"/>
    </w:pPr>
  </w:style>
  <w:style w:type="paragraph" w:styleId="Index4">
    <w:name w:val="index 4"/>
    <w:basedOn w:val="Normal"/>
    <w:next w:val="Normal"/>
    <w:autoRedefine/>
    <w:uiPriority w:val="99"/>
    <w:semiHidden/>
    <w:unhideWhenUsed/>
    <w:rsid w:val="00C3280A"/>
    <w:pPr>
      <w:spacing w:after="0"/>
      <w:ind w:left="880" w:hanging="220"/>
    </w:pPr>
  </w:style>
  <w:style w:type="paragraph" w:styleId="Index5">
    <w:name w:val="index 5"/>
    <w:basedOn w:val="Normal"/>
    <w:next w:val="Normal"/>
    <w:autoRedefine/>
    <w:uiPriority w:val="99"/>
    <w:semiHidden/>
    <w:unhideWhenUsed/>
    <w:rsid w:val="00C3280A"/>
    <w:pPr>
      <w:spacing w:after="0"/>
      <w:ind w:left="1100" w:hanging="220"/>
    </w:pPr>
  </w:style>
  <w:style w:type="paragraph" w:styleId="Index6">
    <w:name w:val="index 6"/>
    <w:basedOn w:val="Normal"/>
    <w:next w:val="Normal"/>
    <w:autoRedefine/>
    <w:uiPriority w:val="99"/>
    <w:semiHidden/>
    <w:unhideWhenUsed/>
    <w:rsid w:val="00C3280A"/>
    <w:pPr>
      <w:spacing w:after="0"/>
      <w:ind w:left="1320" w:hanging="220"/>
    </w:pPr>
  </w:style>
  <w:style w:type="paragraph" w:styleId="Index7">
    <w:name w:val="index 7"/>
    <w:basedOn w:val="Normal"/>
    <w:next w:val="Normal"/>
    <w:autoRedefine/>
    <w:uiPriority w:val="99"/>
    <w:semiHidden/>
    <w:unhideWhenUsed/>
    <w:rsid w:val="00C3280A"/>
    <w:pPr>
      <w:spacing w:after="0"/>
      <w:ind w:left="1540" w:hanging="220"/>
    </w:pPr>
  </w:style>
  <w:style w:type="paragraph" w:styleId="Index8">
    <w:name w:val="index 8"/>
    <w:basedOn w:val="Normal"/>
    <w:next w:val="Normal"/>
    <w:autoRedefine/>
    <w:uiPriority w:val="99"/>
    <w:semiHidden/>
    <w:unhideWhenUsed/>
    <w:rsid w:val="00C3280A"/>
    <w:pPr>
      <w:spacing w:after="0"/>
      <w:ind w:left="1760" w:hanging="220"/>
    </w:pPr>
  </w:style>
  <w:style w:type="paragraph" w:styleId="Index9">
    <w:name w:val="index 9"/>
    <w:basedOn w:val="Normal"/>
    <w:next w:val="Normal"/>
    <w:autoRedefine/>
    <w:uiPriority w:val="99"/>
    <w:semiHidden/>
    <w:unhideWhenUsed/>
    <w:rsid w:val="00C3280A"/>
    <w:pPr>
      <w:spacing w:after="0"/>
      <w:ind w:left="1980" w:hanging="220"/>
    </w:pPr>
  </w:style>
  <w:style w:type="paragraph" w:styleId="IndexHeading">
    <w:name w:val="index heading"/>
    <w:basedOn w:val="Normal"/>
    <w:next w:val="Index1"/>
    <w:uiPriority w:val="99"/>
    <w:semiHidden/>
    <w:unhideWhenUsed/>
    <w:rsid w:val="00C3280A"/>
    <w:rPr>
      <w:rFonts w:eastAsiaTheme="majorEastAsia" w:cstheme="majorBidi"/>
      <w:b/>
      <w:bCs/>
    </w:rPr>
  </w:style>
  <w:style w:type="character" w:styleId="IntenseEmphasis">
    <w:name w:val="Intense Emphasis"/>
    <w:aliases w:val="Intense Emphasis (Ctrl+Alt+Shift+U)"/>
    <w:basedOn w:val="DefaultParagraphFont"/>
    <w:uiPriority w:val="21"/>
    <w:qFormat/>
    <w:rsid w:val="00C3280A"/>
    <w:rPr>
      <w:b/>
      <w:bCs/>
      <w:iCs/>
      <w:color w:val="auto"/>
      <w:u w:val="single"/>
    </w:rPr>
  </w:style>
  <w:style w:type="paragraph" w:styleId="IntenseQuote">
    <w:name w:val="Intense Quote"/>
    <w:basedOn w:val="Normal"/>
    <w:next w:val="Normal"/>
    <w:link w:val="IntenseQuoteChar"/>
    <w:uiPriority w:val="99"/>
    <w:semiHidden/>
    <w:qFormat/>
    <w:rsid w:val="00C3280A"/>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93185A"/>
    <w:rPr>
      <w:b/>
      <w:bCs/>
      <w:i/>
      <w:iCs/>
      <w:kern w:val="2"/>
    </w:rPr>
  </w:style>
  <w:style w:type="character" w:styleId="IntenseReference">
    <w:name w:val="Intense Reference"/>
    <w:basedOn w:val="DefaultParagraphFont"/>
    <w:uiPriority w:val="99"/>
    <w:semiHidden/>
    <w:qFormat/>
    <w:rsid w:val="00C3280A"/>
    <w:rPr>
      <w:b/>
      <w:bCs/>
      <w:smallCaps/>
      <w:color w:val="auto"/>
      <w:spacing w:val="5"/>
      <w:u w:val="single"/>
    </w:rPr>
  </w:style>
  <w:style w:type="table" w:customStyle="1" w:styleId="LightGrid-Accent11">
    <w:name w:val="Light Grid - Accent 11"/>
    <w:basedOn w:val="TableNormal"/>
    <w:uiPriority w:val="62"/>
    <w:rsid w:val="00C3280A"/>
    <w:pPr>
      <w:spacing w:after="0"/>
    </w:pPr>
    <w:rPr>
      <w:kern w:val="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3280A"/>
    <w:pPr>
      <w:spacing w:after="0"/>
    </w:pPr>
    <w:rPr>
      <w:kern w:val="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3280A"/>
    <w:pPr>
      <w:spacing w:after="0"/>
    </w:pPr>
    <w:rPr>
      <w:kern w:val="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3280A"/>
    <w:pPr>
      <w:spacing w:after="0"/>
    </w:pPr>
    <w:rPr>
      <w:kern w:val="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3280A"/>
    <w:pPr>
      <w:spacing w:after="0"/>
    </w:pPr>
    <w:rPr>
      <w:kern w:val="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3280A"/>
    <w:pPr>
      <w:spacing w:after="0"/>
    </w:pPr>
    <w:rPr>
      <w:kern w:val="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C3280A"/>
    <w:pPr>
      <w:spacing w:after="0"/>
    </w:pPr>
    <w:rPr>
      <w:kern w:val="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C3280A"/>
    <w:pPr>
      <w:spacing w:after="0"/>
    </w:pPr>
    <w:rPr>
      <w:kern w:val="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3280A"/>
    <w:pPr>
      <w:spacing w:after="0"/>
    </w:pPr>
    <w:rPr>
      <w:kern w:val="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3280A"/>
    <w:pPr>
      <w:spacing w:after="0"/>
    </w:pPr>
    <w:rPr>
      <w:kern w:val="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3280A"/>
    <w:pPr>
      <w:spacing w:after="0"/>
    </w:pPr>
    <w:rPr>
      <w:kern w:val="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3280A"/>
    <w:pPr>
      <w:spacing w:after="0"/>
    </w:pPr>
    <w:rPr>
      <w:kern w:val="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3280A"/>
    <w:pPr>
      <w:spacing w:after="0"/>
    </w:pPr>
    <w:rPr>
      <w:kern w:val="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C3280A"/>
    <w:pPr>
      <w:spacing w:after="0"/>
    </w:pPr>
    <w:rPr>
      <w:kern w:val="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C3280A"/>
    <w:pPr>
      <w:spacing w:after="0"/>
    </w:pPr>
    <w:rPr>
      <w:color w:val="365F91" w:themeColor="accent1" w:themeShade="BF"/>
      <w:kern w:val="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3280A"/>
    <w:pPr>
      <w:spacing w:after="0"/>
    </w:pPr>
    <w:rPr>
      <w:color w:val="943634" w:themeColor="accent2" w:themeShade="BF"/>
      <w:kern w:val="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3280A"/>
    <w:pPr>
      <w:spacing w:after="0"/>
    </w:pPr>
    <w:rPr>
      <w:color w:val="76923C" w:themeColor="accent3" w:themeShade="BF"/>
      <w:kern w:val="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3280A"/>
    <w:pPr>
      <w:spacing w:after="0"/>
    </w:pPr>
    <w:rPr>
      <w:color w:val="5F497A" w:themeColor="accent4" w:themeShade="BF"/>
      <w:kern w:val="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3280A"/>
    <w:pPr>
      <w:spacing w:after="0"/>
    </w:pPr>
    <w:rPr>
      <w:color w:val="31849B" w:themeColor="accent5" w:themeShade="BF"/>
      <w:kern w:val="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3280A"/>
    <w:pPr>
      <w:spacing w:after="0"/>
    </w:pPr>
    <w:rPr>
      <w:color w:val="E36C0A" w:themeColor="accent6" w:themeShade="BF"/>
      <w:kern w:val="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C3280A"/>
    <w:pPr>
      <w:spacing w:after="0"/>
    </w:pPr>
    <w:rPr>
      <w:color w:val="000000" w:themeColor="text1" w:themeShade="BF"/>
      <w:kern w:val="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C3280A"/>
  </w:style>
  <w:style w:type="paragraph" w:styleId="List2">
    <w:name w:val="List 2"/>
    <w:aliases w:val="List 2 (Alt+Shift+2)"/>
    <w:basedOn w:val="Normal"/>
    <w:uiPriority w:val="32"/>
    <w:rsid w:val="00C3280A"/>
    <w:pPr>
      <w:numPr>
        <w:ilvl w:val="1"/>
        <w:numId w:val="3"/>
      </w:numPr>
    </w:pPr>
  </w:style>
  <w:style w:type="paragraph" w:styleId="List3">
    <w:name w:val="List 3"/>
    <w:aliases w:val="List 3 (Alt+Shift+3)"/>
    <w:basedOn w:val="Normal"/>
    <w:uiPriority w:val="32"/>
    <w:rsid w:val="00C3280A"/>
    <w:pPr>
      <w:numPr>
        <w:ilvl w:val="2"/>
        <w:numId w:val="3"/>
      </w:numPr>
    </w:pPr>
  </w:style>
  <w:style w:type="paragraph" w:styleId="List4">
    <w:name w:val="List 4"/>
    <w:aliases w:val="List 4 (Alt+Shift+4)"/>
    <w:basedOn w:val="Normal"/>
    <w:uiPriority w:val="32"/>
    <w:rsid w:val="00C3280A"/>
    <w:pPr>
      <w:numPr>
        <w:ilvl w:val="3"/>
        <w:numId w:val="3"/>
      </w:numPr>
    </w:pPr>
  </w:style>
  <w:style w:type="paragraph" w:styleId="List5">
    <w:name w:val="List 5"/>
    <w:aliases w:val="List 5 (Alt+Shift+5)"/>
    <w:basedOn w:val="Normal"/>
    <w:uiPriority w:val="32"/>
    <w:semiHidden/>
    <w:unhideWhenUsed/>
    <w:rsid w:val="00C3280A"/>
    <w:pPr>
      <w:numPr>
        <w:ilvl w:val="4"/>
        <w:numId w:val="3"/>
      </w:numPr>
    </w:pPr>
  </w:style>
  <w:style w:type="paragraph" w:styleId="List">
    <w:name w:val="List"/>
    <w:aliases w:val="List (Alt+Shift+1)"/>
    <w:basedOn w:val="Normal"/>
    <w:uiPriority w:val="31"/>
    <w:rsid w:val="00C3280A"/>
    <w:pPr>
      <w:numPr>
        <w:numId w:val="3"/>
      </w:numPr>
    </w:pPr>
  </w:style>
  <w:style w:type="paragraph" w:customStyle="1" w:styleId="List6AltShift6">
    <w:name w:val="List 6 (Alt+Shift+6)"/>
    <w:basedOn w:val="List"/>
    <w:uiPriority w:val="32"/>
    <w:semiHidden/>
    <w:unhideWhenUsed/>
    <w:qFormat/>
    <w:rsid w:val="00C3280A"/>
    <w:pPr>
      <w:numPr>
        <w:ilvl w:val="5"/>
      </w:numPr>
    </w:pPr>
  </w:style>
  <w:style w:type="paragraph" w:customStyle="1" w:styleId="List7AltShift7">
    <w:name w:val="List 7 (Alt+Shift+7)"/>
    <w:basedOn w:val="List"/>
    <w:uiPriority w:val="32"/>
    <w:semiHidden/>
    <w:unhideWhenUsed/>
    <w:qFormat/>
    <w:rsid w:val="00C3280A"/>
    <w:pPr>
      <w:numPr>
        <w:ilvl w:val="6"/>
      </w:numPr>
    </w:pPr>
  </w:style>
  <w:style w:type="paragraph" w:customStyle="1" w:styleId="List8AltShift8">
    <w:name w:val="List 8 (Alt+Shift+8)"/>
    <w:basedOn w:val="List"/>
    <w:uiPriority w:val="32"/>
    <w:semiHidden/>
    <w:unhideWhenUsed/>
    <w:qFormat/>
    <w:rsid w:val="00C3280A"/>
    <w:pPr>
      <w:numPr>
        <w:ilvl w:val="7"/>
      </w:numPr>
    </w:pPr>
  </w:style>
  <w:style w:type="paragraph" w:customStyle="1" w:styleId="List9AltShift9">
    <w:name w:val="List 9 (Alt+Shift+9)"/>
    <w:basedOn w:val="List"/>
    <w:uiPriority w:val="32"/>
    <w:semiHidden/>
    <w:unhideWhenUsed/>
    <w:qFormat/>
    <w:rsid w:val="00C3280A"/>
    <w:pPr>
      <w:numPr>
        <w:ilvl w:val="8"/>
      </w:numPr>
    </w:pPr>
  </w:style>
  <w:style w:type="paragraph" w:styleId="ListBullet">
    <w:name w:val="List Bullet"/>
    <w:basedOn w:val="Normal"/>
    <w:uiPriority w:val="99"/>
    <w:semiHidden/>
    <w:unhideWhenUsed/>
    <w:rsid w:val="00C3280A"/>
    <w:pPr>
      <w:numPr>
        <w:numId w:val="4"/>
      </w:numPr>
    </w:pPr>
  </w:style>
  <w:style w:type="paragraph" w:styleId="ListBullet2">
    <w:name w:val="List Bullet 2"/>
    <w:basedOn w:val="Normal"/>
    <w:uiPriority w:val="99"/>
    <w:semiHidden/>
    <w:unhideWhenUsed/>
    <w:rsid w:val="00C3280A"/>
    <w:pPr>
      <w:numPr>
        <w:ilvl w:val="1"/>
        <w:numId w:val="4"/>
      </w:numPr>
    </w:pPr>
  </w:style>
  <w:style w:type="paragraph" w:styleId="ListBullet3">
    <w:name w:val="List Bullet 3"/>
    <w:basedOn w:val="Normal"/>
    <w:uiPriority w:val="99"/>
    <w:semiHidden/>
    <w:unhideWhenUsed/>
    <w:rsid w:val="00C3280A"/>
    <w:pPr>
      <w:numPr>
        <w:ilvl w:val="2"/>
        <w:numId w:val="4"/>
      </w:numPr>
    </w:pPr>
  </w:style>
  <w:style w:type="paragraph" w:styleId="ListBullet4">
    <w:name w:val="List Bullet 4"/>
    <w:basedOn w:val="Normal"/>
    <w:uiPriority w:val="99"/>
    <w:semiHidden/>
    <w:unhideWhenUsed/>
    <w:rsid w:val="00C3280A"/>
    <w:pPr>
      <w:numPr>
        <w:ilvl w:val="3"/>
        <w:numId w:val="4"/>
      </w:numPr>
    </w:pPr>
  </w:style>
  <w:style w:type="paragraph" w:styleId="ListBullet5">
    <w:name w:val="List Bullet 5"/>
    <w:basedOn w:val="Normal"/>
    <w:uiPriority w:val="99"/>
    <w:semiHidden/>
    <w:unhideWhenUsed/>
    <w:rsid w:val="00C3280A"/>
    <w:pPr>
      <w:numPr>
        <w:ilvl w:val="4"/>
        <w:numId w:val="4"/>
      </w:numPr>
    </w:pPr>
  </w:style>
  <w:style w:type="paragraph" w:styleId="ListContinue">
    <w:name w:val="List Continue"/>
    <w:basedOn w:val="Normal"/>
    <w:uiPriority w:val="99"/>
    <w:semiHidden/>
    <w:unhideWhenUsed/>
    <w:rsid w:val="00C3280A"/>
    <w:pPr>
      <w:spacing w:after="120"/>
      <w:ind w:left="360"/>
      <w:contextualSpacing/>
    </w:pPr>
  </w:style>
  <w:style w:type="paragraph" w:styleId="ListContinue2">
    <w:name w:val="List Continue 2"/>
    <w:basedOn w:val="Normal"/>
    <w:uiPriority w:val="99"/>
    <w:semiHidden/>
    <w:unhideWhenUsed/>
    <w:rsid w:val="00C3280A"/>
    <w:pPr>
      <w:spacing w:after="120"/>
      <w:ind w:left="720"/>
      <w:contextualSpacing/>
    </w:pPr>
  </w:style>
  <w:style w:type="paragraph" w:styleId="ListContinue3">
    <w:name w:val="List Continue 3"/>
    <w:basedOn w:val="Normal"/>
    <w:uiPriority w:val="99"/>
    <w:semiHidden/>
    <w:unhideWhenUsed/>
    <w:rsid w:val="00C3280A"/>
    <w:pPr>
      <w:spacing w:after="120"/>
      <w:ind w:left="1080"/>
      <w:contextualSpacing/>
    </w:pPr>
  </w:style>
  <w:style w:type="paragraph" w:styleId="ListContinue4">
    <w:name w:val="List Continue 4"/>
    <w:basedOn w:val="Normal"/>
    <w:uiPriority w:val="99"/>
    <w:semiHidden/>
    <w:unhideWhenUsed/>
    <w:rsid w:val="00C3280A"/>
    <w:pPr>
      <w:spacing w:after="120"/>
      <w:ind w:left="1440"/>
      <w:contextualSpacing/>
    </w:pPr>
  </w:style>
  <w:style w:type="paragraph" w:styleId="ListContinue5">
    <w:name w:val="List Continue 5"/>
    <w:basedOn w:val="Normal"/>
    <w:uiPriority w:val="99"/>
    <w:semiHidden/>
    <w:unhideWhenUsed/>
    <w:rsid w:val="00C3280A"/>
    <w:pPr>
      <w:spacing w:after="120"/>
      <w:ind w:left="1800"/>
      <w:contextualSpacing/>
    </w:pPr>
  </w:style>
  <w:style w:type="paragraph" w:styleId="ListNumber">
    <w:name w:val="List Number"/>
    <w:basedOn w:val="Normal"/>
    <w:uiPriority w:val="99"/>
    <w:semiHidden/>
    <w:unhideWhenUsed/>
    <w:rsid w:val="00C3280A"/>
    <w:pPr>
      <w:numPr>
        <w:numId w:val="5"/>
      </w:numPr>
      <w:contextualSpacing/>
    </w:pPr>
  </w:style>
  <w:style w:type="paragraph" w:styleId="ListNumber2">
    <w:name w:val="List Number 2"/>
    <w:basedOn w:val="Normal"/>
    <w:uiPriority w:val="99"/>
    <w:semiHidden/>
    <w:unhideWhenUsed/>
    <w:rsid w:val="00C3280A"/>
    <w:pPr>
      <w:numPr>
        <w:numId w:val="6"/>
      </w:numPr>
      <w:contextualSpacing/>
    </w:pPr>
  </w:style>
  <w:style w:type="paragraph" w:styleId="ListNumber3">
    <w:name w:val="List Number 3"/>
    <w:basedOn w:val="Normal"/>
    <w:uiPriority w:val="99"/>
    <w:semiHidden/>
    <w:unhideWhenUsed/>
    <w:rsid w:val="00C3280A"/>
    <w:pPr>
      <w:numPr>
        <w:numId w:val="7"/>
      </w:numPr>
      <w:contextualSpacing/>
    </w:pPr>
  </w:style>
  <w:style w:type="paragraph" w:styleId="ListNumber4">
    <w:name w:val="List Number 4"/>
    <w:basedOn w:val="Normal"/>
    <w:uiPriority w:val="99"/>
    <w:semiHidden/>
    <w:unhideWhenUsed/>
    <w:rsid w:val="00C3280A"/>
    <w:pPr>
      <w:numPr>
        <w:numId w:val="8"/>
      </w:numPr>
      <w:contextualSpacing/>
    </w:pPr>
  </w:style>
  <w:style w:type="paragraph" w:styleId="ListNumber5">
    <w:name w:val="List Number 5"/>
    <w:basedOn w:val="Normal"/>
    <w:uiPriority w:val="99"/>
    <w:semiHidden/>
    <w:unhideWhenUsed/>
    <w:rsid w:val="00C3280A"/>
    <w:pPr>
      <w:numPr>
        <w:numId w:val="9"/>
      </w:numPr>
      <w:contextualSpacing/>
    </w:pPr>
  </w:style>
  <w:style w:type="paragraph" w:styleId="ListParagraph">
    <w:name w:val="List Paragraph"/>
    <w:basedOn w:val="Normal"/>
    <w:uiPriority w:val="34"/>
    <w:semiHidden/>
    <w:qFormat/>
    <w:rsid w:val="00C3280A"/>
    <w:pPr>
      <w:ind w:left="720"/>
      <w:contextualSpacing/>
    </w:pPr>
  </w:style>
  <w:style w:type="paragraph" w:customStyle="1" w:styleId="ListParagraph1CtrlAltQ">
    <w:name w:val="List Paragraph 1 (Ctrl+Alt+Q)"/>
    <w:basedOn w:val="Heading1"/>
    <w:link w:val="ListParagraph1CtrlAltQChar"/>
    <w:uiPriority w:val="10"/>
    <w:qFormat/>
    <w:rsid w:val="00C03D2A"/>
    <w:pPr>
      <w:keepNext w:val="0"/>
    </w:pPr>
    <w:rPr>
      <w:b w:val="0"/>
      <w:u w:val="none"/>
    </w:rPr>
  </w:style>
  <w:style w:type="character" w:customStyle="1" w:styleId="ListParagraph1CtrlAltQChar">
    <w:name w:val="List Paragraph 1 (Ctrl+Alt+Q) Char"/>
    <w:basedOn w:val="Heading1Char"/>
    <w:link w:val="ListParagraph1CtrlAltQ"/>
    <w:uiPriority w:val="10"/>
    <w:rsid w:val="00C03D2A"/>
    <w:rPr>
      <w:rFonts w:eastAsiaTheme="majorEastAsia" w:cstheme="majorBidi"/>
      <w:b/>
      <w:bCs/>
      <w:kern w:val="2"/>
      <w:szCs w:val="28"/>
      <w:u w:val="single"/>
    </w:rPr>
  </w:style>
  <w:style w:type="paragraph" w:customStyle="1" w:styleId="ListParagraph2CtrlAltW">
    <w:name w:val="List Paragraph 2 (Ctrl+Alt+W)"/>
    <w:basedOn w:val="Heading2"/>
    <w:link w:val="ListParagraph2CtrlAltWChar"/>
    <w:uiPriority w:val="10"/>
    <w:qFormat/>
    <w:rsid w:val="00C03D2A"/>
    <w:pPr>
      <w:keepNext w:val="0"/>
    </w:pPr>
    <w:rPr>
      <w:b w:val="0"/>
    </w:rPr>
  </w:style>
  <w:style w:type="character" w:customStyle="1" w:styleId="ListParagraph2CtrlAltWChar">
    <w:name w:val="List Paragraph 2 (Ctrl+Alt+W) Char"/>
    <w:basedOn w:val="Heading2Char"/>
    <w:link w:val="ListParagraph2CtrlAltW"/>
    <w:uiPriority w:val="10"/>
    <w:rsid w:val="00C03D2A"/>
    <w:rPr>
      <w:rFonts w:eastAsiaTheme="majorEastAsia" w:cstheme="majorBidi"/>
      <w:b/>
      <w:bCs/>
      <w:kern w:val="2"/>
      <w:szCs w:val="26"/>
    </w:rPr>
  </w:style>
  <w:style w:type="paragraph" w:customStyle="1" w:styleId="ListParagraph3CtrlAltE">
    <w:name w:val="List Paragraph 3 (Ctrl+Alt+E)"/>
    <w:basedOn w:val="Heading3"/>
    <w:link w:val="ListParagraph3CtrlAltEChar"/>
    <w:uiPriority w:val="10"/>
    <w:qFormat/>
    <w:rsid w:val="00756E49"/>
    <w:pPr>
      <w:keepNext w:val="0"/>
      <w:ind w:left="1440"/>
    </w:pPr>
    <w:rPr>
      <w:b w:val="0"/>
    </w:rPr>
  </w:style>
  <w:style w:type="character" w:customStyle="1" w:styleId="ListParagraph3CtrlAltEChar">
    <w:name w:val="List Paragraph 3 (Ctrl+Alt+E) Char"/>
    <w:basedOn w:val="Heading3Char"/>
    <w:link w:val="ListParagraph3CtrlAltE"/>
    <w:uiPriority w:val="10"/>
    <w:rsid w:val="00756E49"/>
    <w:rPr>
      <w:rFonts w:eastAsiaTheme="majorEastAsia" w:cstheme="majorBidi"/>
      <w:b w:val="0"/>
      <w:bCs/>
      <w:kern w:val="2"/>
    </w:rPr>
  </w:style>
  <w:style w:type="paragraph" w:customStyle="1" w:styleId="ListParagraph4CtrlAltR">
    <w:name w:val="List Paragraph 4 (Ctrl+Alt+R)"/>
    <w:basedOn w:val="Heading4"/>
    <w:link w:val="ListParagraph4CtrlAltRChar"/>
    <w:uiPriority w:val="10"/>
    <w:qFormat/>
    <w:rsid w:val="00C03D2A"/>
    <w:pPr>
      <w:keepNext w:val="0"/>
      <w:keepLines w:val="0"/>
    </w:pPr>
    <w:rPr>
      <w:b w:val="0"/>
    </w:rPr>
  </w:style>
  <w:style w:type="character" w:customStyle="1" w:styleId="ListParagraph4CtrlAltRChar">
    <w:name w:val="List Paragraph 4 (Ctrl+Alt+R) Char"/>
    <w:basedOn w:val="Heading4Char"/>
    <w:link w:val="ListParagraph4CtrlAltR"/>
    <w:uiPriority w:val="10"/>
    <w:rsid w:val="00C03D2A"/>
    <w:rPr>
      <w:rFonts w:eastAsiaTheme="majorEastAsia" w:cstheme="majorBidi"/>
      <w:b/>
      <w:bCs/>
      <w:iCs/>
      <w:szCs w:val="22"/>
    </w:rPr>
  </w:style>
  <w:style w:type="paragraph" w:customStyle="1" w:styleId="ListParagraph5CtrlAltT">
    <w:name w:val="List Paragraph 5 (Ctrl+Alt+T)"/>
    <w:basedOn w:val="Heading5"/>
    <w:link w:val="ListParagraph5CtrlAltTChar"/>
    <w:uiPriority w:val="10"/>
    <w:unhideWhenUsed/>
    <w:qFormat/>
    <w:rsid w:val="00C03D2A"/>
    <w:pPr>
      <w:keepNext w:val="0"/>
    </w:pPr>
    <w:rPr>
      <w:b w:val="0"/>
    </w:rPr>
  </w:style>
  <w:style w:type="paragraph" w:styleId="MacroText">
    <w:name w:val="macro"/>
    <w:link w:val="MacroTextChar"/>
    <w:uiPriority w:val="99"/>
    <w:semiHidden/>
    <w:unhideWhenUsed/>
    <w:rsid w:val="00C328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2"/>
      <w:sz w:val="20"/>
      <w:szCs w:val="20"/>
      <w:lang w:val="en-US"/>
    </w:rPr>
  </w:style>
  <w:style w:type="character" w:customStyle="1" w:styleId="MacroTextChar">
    <w:name w:val="Macro Text Char"/>
    <w:basedOn w:val="DefaultParagraphFont"/>
    <w:link w:val="MacroText"/>
    <w:uiPriority w:val="99"/>
    <w:semiHidden/>
    <w:rsid w:val="00C3280A"/>
    <w:rPr>
      <w:rFonts w:ascii="Consolas" w:hAnsi="Consolas"/>
      <w:kern w:val="2"/>
      <w:sz w:val="20"/>
      <w:szCs w:val="20"/>
      <w:lang w:val="en-US"/>
    </w:rPr>
  </w:style>
  <w:style w:type="table" w:styleId="MediumGrid1-Accent1">
    <w:name w:val="Medium Grid 1 Accent 1"/>
    <w:basedOn w:val="TableNormal"/>
    <w:uiPriority w:val="67"/>
    <w:rsid w:val="00C3280A"/>
    <w:pPr>
      <w:spacing w:after="0"/>
    </w:pPr>
    <w:rPr>
      <w:kern w:val="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3280A"/>
    <w:pPr>
      <w:spacing w:after="0"/>
    </w:pPr>
    <w:rPr>
      <w:kern w:val="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3280A"/>
    <w:pPr>
      <w:spacing w:after="0"/>
    </w:pPr>
    <w:rPr>
      <w:kern w:val="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3280A"/>
    <w:pPr>
      <w:spacing w:after="0"/>
    </w:pPr>
    <w:rPr>
      <w:kern w:val="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3280A"/>
    <w:pPr>
      <w:spacing w:after="0"/>
    </w:pPr>
    <w:rPr>
      <w:kern w:val="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3280A"/>
    <w:pPr>
      <w:spacing w:after="0"/>
    </w:pPr>
    <w:rPr>
      <w:kern w:val="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C3280A"/>
    <w:pPr>
      <w:spacing w:after="0"/>
    </w:pPr>
    <w:rPr>
      <w:kern w:val="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C3280A"/>
    <w:pPr>
      <w:spacing w:after="0"/>
    </w:pPr>
    <w:rPr>
      <w:rFonts w:asciiTheme="majorHAnsi" w:eastAsiaTheme="majorEastAsia" w:hAnsiTheme="majorHAnsi" w:cstheme="majorBidi"/>
      <w:color w:val="000000" w:themeColor="text1"/>
      <w:kern w:val="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C3280A"/>
    <w:pPr>
      <w:spacing w:after="0"/>
    </w:pPr>
    <w:rPr>
      <w:kern w:val="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C3280A"/>
    <w:pPr>
      <w:spacing w:after="0"/>
    </w:pPr>
    <w:rPr>
      <w:color w:val="000000" w:themeColor="text1"/>
      <w:kern w:val="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3280A"/>
    <w:pPr>
      <w:spacing w:after="0"/>
    </w:pPr>
    <w:rPr>
      <w:color w:val="000000" w:themeColor="text1"/>
      <w:kern w:val="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3280A"/>
    <w:pPr>
      <w:spacing w:after="0"/>
    </w:pPr>
    <w:rPr>
      <w:color w:val="000000" w:themeColor="text1"/>
      <w:kern w:val="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3280A"/>
    <w:pPr>
      <w:spacing w:after="0"/>
    </w:pPr>
    <w:rPr>
      <w:color w:val="000000" w:themeColor="text1"/>
      <w:kern w:val="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3280A"/>
    <w:pPr>
      <w:spacing w:after="0"/>
    </w:pPr>
    <w:rPr>
      <w:color w:val="000000" w:themeColor="text1"/>
      <w:kern w:val="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3280A"/>
    <w:pPr>
      <w:spacing w:after="0"/>
    </w:pPr>
    <w:rPr>
      <w:color w:val="000000" w:themeColor="text1"/>
      <w:kern w:val="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C3280A"/>
    <w:pPr>
      <w:spacing w:after="0"/>
    </w:pPr>
    <w:rPr>
      <w:color w:val="000000" w:themeColor="text1"/>
      <w:kern w:val="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3280A"/>
    <w:pPr>
      <w:spacing w:after="0"/>
    </w:pPr>
    <w:rPr>
      <w:rFonts w:asciiTheme="majorHAnsi" w:eastAsiaTheme="majorEastAsia" w:hAnsiTheme="majorHAnsi" w:cstheme="majorBidi"/>
      <w:color w:val="000000" w:themeColor="text1"/>
      <w:kern w:val="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3280A"/>
    <w:pPr>
      <w:spacing w:after="0"/>
    </w:pPr>
    <w:rPr>
      <w:rFonts w:eastAsiaTheme="majorEastAsia" w:cstheme="majorBidi"/>
      <w:color w:val="000000" w:themeColor="text1"/>
      <w:kern w:val="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C3280A"/>
    <w:pPr>
      <w:spacing w:after="0"/>
    </w:pPr>
    <w:rPr>
      <w:rFonts w:asciiTheme="majorHAnsi" w:eastAsiaTheme="majorEastAsia" w:hAnsiTheme="majorHAnsi" w:cstheme="majorBidi"/>
      <w:color w:val="000000" w:themeColor="text1"/>
      <w:kern w:val="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C3280A"/>
    <w:pPr>
      <w:spacing w:after="0"/>
    </w:pPr>
    <w:rPr>
      <w:kern w:val="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3280A"/>
    <w:pPr>
      <w:spacing w:after="0"/>
    </w:pPr>
    <w:rPr>
      <w:kern w:val="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3280A"/>
    <w:pPr>
      <w:spacing w:after="0"/>
    </w:pPr>
    <w:rPr>
      <w:kern w:val="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3280A"/>
    <w:pPr>
      <w:spacing w:after="0"/>
    </w:pPr>
    <w:rPr>
      <w:kern w:val="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3280A"/>
    <w:pPr>
      <w:spacing w:after="0"/>
    </w:pPr>
    <w:rPr>
      <w:kern w:val="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3280A"/>
    <w:pPr>
      <w:spacing w:after="0"/>
    </w:pPr>
    <w:rPr>
      <w:kern w:val="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C3280A"/>
    <w:pPr>
      <w:spacing w:after="0"/>
    </w:pPr>
    <w:rPr>
      <w:kern w:val="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C3280A"/>
    <w:pPr>
      <w:spacing w:after="0"/>
    </w:pPr>
    <w:rPr>
      <w:kern w:val="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3280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C3280A"/>
    <w:rPr>
      <w:rFonts w:ascii="Garamond" w:eastAsiaTheme="majorEastAsia" w:hAnsi="Garamond" w:cstheme="majorBidi"/>
      <w:kern w:val="2"/>
      <w:sz w:val="24"/>
      <w:szCs w:val="24"/>
      <w:shd w:val="pct20" w:color="auto" w:fill="auto"/>
    </w:rPr>
  </w:style>
  <w:style w:type="paragraph" w:styleId="NoSpacing">
    <w:name w:val="No Spacing"/>
    <w:aliases w:val="No Spacing (Ctrl+Alt+J)"/>
    <w:basedOn w:val="Normal"/>
    <w:uiPriority w:val="2"/>
    <w:qFormat/>
    <w:rsid w:val="00C3280A"/>
    <w:pPr>
      <w:spacing w:after="0"/>
    </w:pPr>
  </w:style>
  <w:style w:type="paragraph" w:customStyle="1" w:styleId="NoSpacing2CtrlAltK">
    <w:name w:val="No Spacing 2 (Ctrl+Alt+K)"/>
    <w:basedOn w:val="NoSpacing"/>
    <w:uiPriority w:val="3"/>
    <w:qFormat/>
    <w:rsid w:val="00C3280A"/>
    <w:pPr>
      <w:ind w:left="720"/>
    </w:pPr>
  </w:style>
  <w:style w:type="paragraph" w:customStyle="1" w:styleId="NoSpacing3CtrlAltL">
    <w:name w:val="No Spacing 3 (Ctrl+Alt+L)"/>
    <w:basedOn w:val="NoSpacing"/>
    <w:uiPriority w:val="3"/>
    <w:qFormat/>
    <w:rsid w:val="00C3280A"/>
    <w:pPr>
      <w:ind w:left="1440"/>
    </w:pPr>
  </w:style>
  <w:style w:type="paragraph" w:customStyle="1" w:styleId="NoSpacing4CtrlAlt">
    <w:name w:val="No Spacing 4 (Ctrl+Alt+:)"/>
    <w:basedOn w:val="NoSpacing"/>
    <w:uiPriority w:val="3"/>
    <w:qFormat/>
    <w:rsid w:val="00C3280A"/>
    <w:pPr>
      <w:ind w:left="2160"/>
    </w:pPr>
  </w:style>
  <w:style w:type="paragraph" w:customStyle="1" w:styleId="NoSpacing5CtrlAlt">
    <w:name w:val="No Spacing 5 (Ctrl+Alt+&quot;)"/>
    <w:basedOn w:val="NoSpacing"/>
    <w:uiPriority w:val="3"/>
    <w:semiHidden/>
    <w:unhideWhenUsed/>
    <w:qFormat/>
    <w:rsid w:val="00C3280A"/>
    <w:pPr>
      <w:ind w:left="2880"/>
    </w:pPr>
  </w:style>
  <w:style w:type="paragraph" w:styleId="NormalWeb">
    <w:name w:val="Normal (Web)"/>
    <w:basedOn w:val="Normal"/>
    <w:uiPriority w:val="99"/>
    <w:semiHidden/>
    <w:unhideWhenUsed/>
    <w:rsid w:val="00C3280A"/>
    <w:rPr>
      <w:rFonts w:cs="Times New Roman"/>
    </w:rPr>
  </w:style>
  <w:style w:type="paragraph" w:customStyle="1" w:styleId="Normal2CtrlAltM">
    <w:name w:val="Normal 2 (Ctrl+Alt+M)"/>
    <w:basedOn w:val="Normal"/>
    <w:uiPriority w:val="1"/>
    <w:qFormat/>
    <w:rsid w:val="00C3280A"/>
    <w:pPr>
      <w:ind w:left="720"/>
    </w:pPr>
  </w:style>
  <w:style w:type="paragraph" w:customStyle="1" w:styleId="Normal3CtrlAlt">
    <w:name w:val="Normal 3 (Ctrl+Alt+&lt;)"/>
    <w:basedOn w:val="Normal"/>
    <w:uiPriority w:val="1"/>
    <w:qFormat/>
    <w:rsid w:val="00C3280A"/>
    <w:pPr>
      <w:ind w:left="1440"/>
    </w:pPr>
  </w:style>
  <w:style w:type="paragraph" w:customStyle="1" w:styleId="Normal4CtrlAlt">
    <w:name w:val="Normal 4 (Ctrl+Alt+&gt;)"/>
    <w:basedOn w:val="Normal"/>
    <w:uiPriority w:val="1"/>
    <w:qFormat/>
    <w:rsid w:val="00C3280A"/>
    <w:pPr>
      <w:ind w:left="2160"/>
    </w:pPr>
  </w:style>
  <w:style w:type="paragraph" w:customStyle="1" w:styleId="Normal5CtrlAlt">
    <w:name w:val="Normal 5 (Ctrl+Alt+?)"/>
    <w:basedOn w:val="Normal"/>
    <w:uiPriority w:val="1"/>
    <w:semiHidden/>
    <w:unhideWhenUsed/>
    <w:qFormat/>
    <w:rsid w:val="00C3280A"/>
    <w:pPr>
      <w:ind w:left="2880"/>
    </w:pPr>
  </w:style>
  <w:style w:type="paragraph" w:styleId="NormalIndent">
    <w:name w:val="Normal Indent"/>
    <w:basedOn w:val="Normal"/>
    <w:uiPriority w:val="99"/>
    <w:semiHidden/>
    <w:unhideWhenUsed/>
    <w:rsid w:val="00C3280A"/>
    <w:pPr>
      <w:ind w:left="720"/>
    </w:pPr>
  </w:style>
  <w:style w:type="paragraph" w:styleId="NoteHeading">
    <w:name w:val="Note Heading"/>
    <w:basedOn w:val="Normal"/>
    <w:next w:val="Normal"/>
    <w:link w:val="NoteHeadingChar"/>
    <w:uiPriority w:val="99"/>
    <w:semiHidden/>
    <w:unhideWhenUsed/>
    <w:rsid w:val="00C3280A"/>
    <w:pPr>
      <w:spacing w:after="0"/>
    </w:pPr>
  </w:style>
  <w:style w:type="character" w:customStyle="1" w:styleId="NoteHeadingChar">
    <w:name w:val="Note Heading Char"/>
    <w:basedOn w:val="DefaultParagraphFont"/>
    <w:link w:val="NoteHeading"/>
    <w:uiPriority w:val="99"/>
    <w:semiHidden/>
    <w:rsid w:val="00C3280A"/>
    <w:rPr>
      <w:rFonts w:ascii="Garamond" w:hAnsi="Garamond"/>
      <w:kern w:val="2"/>
      <w:sz w:val="24"/>
      <w:szCs w:val="24"/>
    </w:rPr>
  </w:style>
  <w:style w:type="character" w:styleId="PageNumber">
    <w:name w:val="page number"/>
    <w:basedOn w:val="DefaultParagraphFont"/>
    <w:uiPriority w:val="99"/>
    <w:semiHidden/>
    <w:unhideWhenUsed/>
    <w:rsid w:val="00C3280A"/>
  </w:style>
  <w:style w:type="character" w:styleId="PlaceholderText">
    <w:name w:val="Placeholder Text"/>
    <w:basedOn w:val="DefaultParagraphFont"/>
    <w:uiPriority w:val="99"/>
    <w:semiHidden/>
    <w:unhideWhenUsed/>
    <w:rsid w:val="00C3280A"/>
    <w:rPr>
      <w:color w:val="808080"/>
    </w:rPr>
  </w:style>
  <w:style w:type="paragraph" w:styleId="PlainText">
    <w:name w:val="Plain Text"/>
    <w:basedOn w:val="Normal"/>
    <w:link w:val="PlainTextChar"/>
    <w:uiPriority w:val="99"/>
    <w:semiHidden/>
    <w:unhideWhenUsed/>
    <w:rsid w:val="00C328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C3280A"/>
    <w:rPr>
      <w:rFonts w:ascii="Consolas" w:hAnsi="Consolas"/>
      <w:kern w:val="2"/>
      <w:sz w:val="21"/>
      <w:szCs w:val="21"/>
    </w:rPr>
  </w:style>
  <w:style w:type="paragraph" w:styleId="Quote">
    <w:name w:val="Quote"/>
    <w:basedOn w:val="Normal"/>
    <w:next w:val="Normal"/>
    <w:link w:val="QuoteChar"/>
    <w:uiPriority w:val="99"/>
    <w:semiHidden/>
    <w:qFormat/>
    <w:rsid w:val="00C3280A"/>
    <w:rPr>
      <w:i/>
      <w:iCs/>
      <w:color w:val="000000" w:themeColor="text1"/>
    </w:rPr>
  </w:style>
  <w:style w:type="character" w:customStyle="1" w:styleId="QuoteChar">
    <w:name w:val="Quote Char"/>
    <w:basedOn w:val="DefaultParagraphFont"/>
    <w:link w:val="Quote"/>
    <w:uiPriority w:val="99"/>
    <w:semiHidden/>
    <w:rsid w:val="0093185A"/>
    <w:rPr>
      <w:i/>
      <w:iCs/>
      <w:color w:val="000000" w:themeColor="text1"/>
      <w:kern w:val="2"/>
    </w:rPr>
  </w:style>
  <w:style w:type="paragraph" w:styleId="Salutation">
    <w:name w:val="Salutation"/>
    <w:basedOn w:val="Normal"/>
    <w:next w:val="Normal"/>
    <w:link w:val="SalutationChar"/>
    <w:uiPriority w:val="99"/>
    <w:semiHidden/>
    <w:rsid w:val="00C3280A"/>
  </w:style>
  <w:style w:type="character" w:customStyle="1" w:styleId="SalutationChar">
    <w:name w:val="Salutation Char"/>
    <w:basedOn w:val="DefaultParagraphFont"/>
    <w:link w:val="Salutation"/>
    <w:uiPriority w:val="99"/>
    <w:semiHidden/>
    <w:rsid w:val="0093185A"/>
    <w:rPr>
      <w:kern w:val="2"/>
    </w:rPr>
  </w:style>
  <w:style w:type="paragraph" w:styleId="Signature">
    <w:name w:val="Signature"/>
    <w:basedOn w:val="Normal"/>
    <w:link w:val="SignatureChar"/>
    <w:uiPriority w:val="99"/>
    <w:semiHidden/>
    <w:rsid w:val="00C3280A"/>
    <w:pPr>
      <w:spacing w:after="0"/>
      <w:ind w:left="4320"/>
    </w:pPr>
  </w:style>
  <w:style w:type="character" w:customStyle="1" w:styleId="SignatureChar">
    <w:name w:val="Signature Char"/>
    <w:basedOn w:val="DefaultParagraphFont"/>
    <w:link w:val="Signature"/>
    <w:uiPriority w:val="99"/>
    <w:semiHidden/>
    <w:rsid w:val="0093185A"/>
    <w:rPr>
      <w:kern w:val="2"/>
    </w:rPr>
  </w:style>
  <w:style w:type="character" w:styleId="Strong">
    <w:name w:val="Strong"/>
    <w:aliases w:val="Strong (Alt+Shift+B)"/>
    <w:basedOn w:val="DefaultParagraphFont"/>
    <w:uiPriority w:val="22"/>
    <w:qFormat/>
    <w:rsid w:val="00C3280A"/>
    <w:rPr>
      <w:b/>
      <w:bCs/>
    </w:rPr>
  </w:style>
  <w:style w:type="paragraph" w:styleId="Subtitle">
    <w:name w:val="Subtitle"/>
    <w:aliases w:val="Subtitle (Alt+Shift+S)"/>
    <w:basedOn w:val="Normal"/>
    <w:next w:val="Normal"/>
    <w:link w:val="SubtitleChar"/>
    <w:uiPriority w:val="12"/>
    <w:qFormat/>
    <w:rsid w:val="00C3280A"/>
    <w:pPr>
      <w:keepNext/>
      <w:numPr>
        <w:ilvl w:val="1"/>
      </w:numPr>
      <w:jc w:val="center"/>
    </w:pPr>
    <w:rPr>
      <w:rFonts w:eastAsiaTheme="majorEastAsia" w:cstheme="majorBidi"/>
      <w:iCs/>
      <w:u w:val="single"/>
    </w:rPr>
  </w:style>
  <w:style w:type="character" w:customStyle="1" w:styleId="SubtitleChar">
    <w:name w:val="Subtitle Char"/>
    <w:aliases w:val="Subtitle (Alt+Shift+S) Char"/>
    <w:basedOn w:val="DefaultParagraphFont"/>
    <w:link w:val="Subtitle"/>
    <w:uiPriority w:val="12"/>
    <w:rsid w:val="00C3280A"/>
    <w:rPr>
      <w:rFonts w:ascii="Garamond" w:eastAsiaTheme="majorEastAsia" w:hAnsi="Garamond" w:cstheme="majorBidi"/>
      <w:iCs/>
      <w:kern w:val="2"/>
      <w:sz w:val="24"/>
      <w:szCs w:val="24"/>
      <w:u w:val="single"/>
    </w:rPr>
  </w:style>
  <w:style w:type="character" w:styleId="SubtleEmphasis">
    <w:name w:val="Subtle Emphasis"/>
    <w:aliases w:val="Subtle Emphasis (Alt+Shift+I)"/>
    <w:basedOn w:val="DefaultParagraphFont"/>
    <w:uiPriority w:val="19"/>
    <w:qFormat/>
    <w:rsid w:val="00C3280A"/>
    <w:rPr>
      <w:i/>
      <w:iCs/>
      <w:color w:val="auto"/>
    </w:rPr>
  </w:style>
  <w:style w:type="character" w:styleId="SubtleReference">
    <w:name w:val="Subtle Reference"/>
    <w:basedOn w:val="DefaultParagraphFont"/>
    <w:uiPriority w:val="99"/>
    <w:semiHidden/>
    <w:qFormat/>
    <w:rsid w:val="00C3280A"/>
    <w:rPr>
      <w:smallCaps/>
      <w:color w:val="auto"/>
      <w:u w:val="single"/>
    </w:rPr>
  </w:style>
  <w:style w:type="table" w:styleId="Table3Deffects1">
    <w:name w:val="Table 3D effects 1"/>
    <w:basedOn w:val="TableNormal"/>
    <w:uiPriority w:val="99"/>
    <w:semiHidden/>
    <w:unhideWhenUsed/>
    <w:rsid w:val="00C3280A"/>
    <w:rPr>
      <w:kern w:val="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3280A"/>
    <w:rPr>
      <w:kern w:val="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3280A"/>
    <w:rPr>
      <w:kern w:val="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3280A"/>
    <w:rPr>
      <w:kern w:val="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3280A"/>
    <w:rPr>
      <w:kern w:val="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3280A"/>
    <w:rPr>
      <w:color w:val="000080"/>
      <w:kern w:val="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3280A"/>
    <w:rPr>
      <w:kern w:val="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3280A"/>
    <w:rPr>
      <w:color w:val="FFFFFF"/>
      <w:kern w:val="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3280A"/>
    <w:rPr>
      <w:kern w:val="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3280A"/>
    <w:rPr>
      <w:kern w:val="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3280A"/>
    <w:rPr>
      <w:b/>
      <w:bCs/>
      <w:kern w:val="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3280A"/>
    <w:rPr>
      <w:b/>
      <w:bCs/>
      <w:kern w:val="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3280A"/>
    <w:rPr>
      <w:b/>
      <w:bCs/>
      <w:kern w:val="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3280A"/>
    <w:rPr>
      <w:kern w:val="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3280A"/>
    <w:rPr>
      <w:kern w:val="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3280A"/>
    <w:rPr>
      <w:kern w:val="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3280A"/>
    <w:rPr>
      <w:kern w:val="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280A"/>
    <w:pPr>
      <w:spacing w:after="0"/>
    </w:pPr>
    <w:rPr>
      <w:kern w:val="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C3280A"/>
    <w:rPr>
      <w:kern w:val="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3280A"/>
    <w:rPr>
      <w:kern w:val="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3280A"/>
    <w:rPr>
      <w:kern w:val="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3280A"/>
    <w:rPr>
      <w:kern w:val="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3280A"/>
    <w:rPr>
      <w:kern w:val="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3280A"/>
    <w:rPr>
      <w:kern w:val="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3280A"/>
    <w:rPr>
      <w:b/>
      <w:bCs/>
      <w:kern w:val="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3280A"/>
    <w:rPr>
      <w:kern w:val="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3280A"/>
    <w:rPr>
      <w:kern w:val="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3280A"/>
    <w:rPr>
      <w:kern w:val="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3280A"/>
    <w:rPr>
      <w:kern w:val="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3280A"/>
    <w:rPr>
      <w:kern w:val="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3280A"/>
    <w:rPr>
      <w:kern w:val="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3280A"/>
    <w:rPr>
      <w:kern w:val="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3280A"/>
    <w:rPr>
      <w:kern w:val="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3280A"/>
    <w:rPr>
      <w:kern w:val="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3280A"/>
    <w:pPr>
      <w:spacing w:after="0"/>
      <w:ind w:left="220" w:hanging="220"/>
    </w:pPr>
  </w:style>
  <w:style w:type="paragraph" w:styleId="TableofFigures">
    <w:name w:val="table of figures"/>
    <w:basedOn w:val="Normal"/>
    <w:next w:val="Normal"/>
    <w:uiPriority w:val="99"/>
    <w:semiHidden/>
    <w:unhideWhenUsed/>
    <w:rsid w:val="00C3280A"/>
    <w:pPr>
      <w:spacing w:after="0"/>
    </w:pPr>
  </w:style>
  <w:style w:type="table" w:styleId="TableProfessional">
    <w:name w:val="Table Professional"/>
    <w:basedOn w:val="TableNormal"/>
    <w:uiPriority w:val="99"/>
    <w:semiHidden/>
    <w:unhideWhenUsed/>
    <w:rsid w:val="00C3280A"/>
    <w:rPr>
      <w:kern w:val="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3280A"/>
    <w:rPr>
      <w:kern w:val="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3280A"/>
    <w:rPr>
      <w:kern w:val="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3280A"/>
    <w:rPr>
      <w:kern w:val="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3280A"/>
    <w:rPr>
      <w:kern w:val="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3280A"/>
    <w:rPr>
      <w:kern w:val="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3280A"/>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3280A"/>
    <w:rPr>
      <w:kern w:val="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3280A"/>
    <w:rPr>
      <w:kern w:val="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3280A"/>
    <w:rPr>
      <w:kern w:val="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Title (Alt+Shift+T)"/>
    <w:basedOn w:val="Normal"/>
    <w:next w:val="Normal"/>
    <w:link w:val="TitleChar"/>
    <w:uiPriority w:val="11"/>
    <w:qFormat/>
    <w:rsid w:val="00C3280A"/>
    <w:pPr>
      <w:keepNext/>
      <w:spacing w:after="120"/>
      <w:jc w:val="center"/>
    </w:pPr>
    <w:rPr>
      <w:rFonts w:eastAsiaTheme="majorEastAsia" w:cstheme="majorBidi"/>
      <w:b/>
      <w:color w:val="000000" w:themeColor="text1"/>
      <w:szCs w:val="52"/>
    </w:rPr>
  </w:style>
  <w:style w:type="character" w:customStyle="1" w:styleId="TitleChar">
    <w:name w:val="Title Char"/>
    <w:aliases w:val="Title (Alt+Shift+T) Char"/>
    <w:basedOn w:val="DefaultParagraphFont"/>
    <w:link w:val="Title"/>
    <w:uiPriority w:val="11"/>
    <w:rsid w:val="00C3280A"/>
    <w:rPr>
      <w:rFonts w:ascii="Garamond" w:eastAsiaTheme="majorEastAsia" w:hAnsi="Garamond" w:cstheme="majorBidi"/>
      <w:b/>
      <w:color w:val="000000" w:themeColor="text1"/>
      <w:kern w:val="2"/>
      <w:sz w:val="24"/>
      <w:szCs w:val="52"/>
    </w:rPr>
  </w:style>
  <w:style w:type="paragraph" w:customStyle="1" w:styleId="TitleInclinTOCCtrlAltShiftT">
    <w:name w:val="Title [Incl in TOC] (Ctrl+Alt+Shift+T)"/>
    <w:basedOn w:val="Title"/>
    <w:uiPriority w:val="10"/>
    <w:qFormat/>
    <w:rsid w:val="00C3280A"/>
    <w:pPr>
      <w:outlineLvl w:val="0"/>
    </w:pPr>
    <w:rPr>
      <w:u w:val="single"/>
    </w:rPr>
  </w:style>
  <w:style w:type="paragraph" w:styleId="TOAHeading">
    <w:name w:val="toa heading"/>
    <w:basedOn w:val="Normal"/>
    <w:next w:val="Normal"/>
    <w:uiPriority w:val="99"/>
    <w:semiHidden/>
    <w:unhideWhenUsed/>
    <w:rsid w:val="00C3280A"/>
    <w:pPr>
      <w:spacing w:before="120"/>
    </w:pPr>
    <w:rPr>
      <w:rFonts w:eastAsiaTheme="majorEastAsia" w:cstheme="majorBidi"/>
      <w:b/>
      <w:bCs/>
    </w:rPr>
  </w:style>
  <w:style w:type="paragraph" w:styleId="TOC1">
    <w:name w:val="toc 1"/>
    <w:basedOn w:val="Normal"/>
    <w:next w:val="Normal"/>
    <w:autoRedefine/>
    <w:uiPriority w:val="39"/>
    <w:semiHidden/>
    <w:unhideWhenUsed/>
    <w:rsid w:val="00C3280A"/>
    <w:pPr>
      <w:spacing w:after="100"/>
    </w:pPr>
  </w:style>
  <w:style w:type="paragraph" w:styleId="TOC2">
    <w:name w:val="toc 2"/>
    <w:basedOn w:val="Normal"/>
    <w:next w:val="Normal"/>
    <w:autoRedefine/>
    <w:uiPriority w:val="39"/>
    <w:semiHidden/>
    <w:unhideWhenUsed/>
    <w:rsid w:val="00C3280A"/>
    <w:pPr>
      <w:spacing w:after="100"/>
      <w:ind w:left="220"/>
    </w:pPr>
  </w:style>
  <w:style w:type="paragraph" w:styleId="TOC3">
    <w:name w:val="toc 3"/>
    <w:basedOn w:val="Normal"/>
    <w:next w:val="Normal"/>
    <w:autoRedefine/>
    <w:uiPriority w:val="39"/>
    <w:semiHidden/>
    <w:unhideWhenUsed/>
    <w:rsid w:val="00C3280A"/>
    <w:pPr>
      <w:spacing w:after="100"/>
      <w:ind w:left="440"/>
    </w:pPr>
  </w:style>
  <w:style w:type="paragraph" w:styleId="TOC4">
    <w:name w:val="toc 4"/>
    <w:basedOn w:val="Normal"/>
    <w:next w:val="Normal"/>
    <w:autoRedefine/>
    <w:uiPriority w:val="39"/>
    <w:semiHidden/>
    <w:unhideWhenUsed/>
    <w:rsid w:val="00C3280A"/>
    <w:pPr>
      <w:spacing w:after="100"/>
      <w:ind w:left="660"/>
    </w:pPr>
  </w:style>
  <w:style w:type="paragraph" w:styleId="TOC5">
    <w:name w:val="toc 5"/>
    <w:basedOn w:val="Normal"/>
    <w:next w:val="Normal"/>
    <w:autoRedefine/>
    <w:uiPriority w:val="39"/>
    <w:semiHidden/>
    <w:unhideWhenUsed/>
    <w:rsid w:val="00C3280A"/>
    <w:pPr>
      <w:spacing w:after="100"/>
      <w:ind w:left="880"/>
    </w:pPr>
  </w:style>
  <w:style w:type="paragraph" w:styleId="TOC6">
    <w:name w:val="toc 6"/>
    <w:basedOn w:val="Normal"/>
    <w:next w:val="Normal"/>
    <w:autoRedefine/>
    <w:uiPriority w:val="39"/>
    <w:semiHidden/>
    <w:unhideWhenUsed/>
    <w:rsid w:val="00C3280A"/>
    <w:pPr>
      <w:spacing w:after="100"/>
      <w:ind w:left="1100"/>
    </w:pPr>
  </w:style>
  <w:style w:type="paragraph" w:styleId="TOC7">
    <w:name w:val="toc 7"/>
    <w:basedOn w:val="Normal"/>
    <w:next w:val="Normal"/>
    <w:autoRedefine/>
    <w:uiPriority w:val="39"/>
    <w:semiHidden/>
    <w:unhideWhenUsed/>
    <w:rsid w:val="00C3280A"/>
    <w:pPr>
      <w:spacing w:after="100"/>
      <w:ind w:left="1320"/>
    </w:pPr>
  </w:style>
  <w:style w:type="paragraph" w:styleId="TOC8">
    <w:name w:val="toc 8"/>
    <w:basedOn w:val="Normal"/>
    <w:next w:val="Normal"/>
    <w:autoRedefine/>
    <w:uiPriority w:val="39"/>
    <w:semiHidden/>
    <w:unhideWhenUsed/>
    <w:rsid w:val="00C3280A"/>
    <w:pPr>
      <w:spacing w:after="100"/>
      <w:ind w:left="1540"/>
    </w:pPr>
  </w:style>
  <w:style w:type="paragraph" w:styleId="TOC9">
    <w:name w:val="toc 9"/>
    <w:basedOn w:val="Normal"/>
    <w:next w:val="Normal"/>
    <w:autoRedefine/>
    <w:uiPriority w:val="39"/>
    <w:semiHidden/>
    <w:unhideWhenUsed/>
    <w:rsid w:val="00C3280A"/>
    <w:pPr>
      <w:spacing w:after="100"/>
      <w:ind w:left="1760"/>
    </w:pPr>
  </w:style>
  <w:style w:type="paragraph" w:styleId="TOCHeading">
    <w:name w:val="TOC Heading"/>
    <w:basedOn w:val="Heading1"/>
    <w:next w:val="Normal"/>
    <w:uiPriority w:val="39"/>
    <w:semiHidden/>
    <w:unhideWhenUsed/>
    <w:qFormat/>
    <w:rsid w:val="00C3280A"/>
    <w:pPr>
      <w:numPr>
        <w:numId w:val="0"/>
      </w:numPr>
      <w:outlineLvl w:val="9"/>
    </w:pPr>
  </w:style>
  <w:style w:type="character" w:customStyle="1" w:styleId="VeryStrongCtrlAltShiftB">
    <w:name w:val="Very Strong (Ctrl+Alt+Shift+B)"/>
    <w:basedOn w:val="DefaultParagraphFont"/>
    <w:uiPriority w:val="23"/>
    <w:qFormat/>
    <w:rsid w:val="00C3280A"/>
    <w:rPr>
      <w:b/>
      <w:i/>
    </w:rPr>
  </w:style>
  <w:style w:type="character" w:customStyle="1" w:styleId="ListParagraph5CtrlAltTChar">
    <w:name w:val="List Paragraph 5 (Ctrl+Alt+T) Char"/>
    <w:basedOn w:val="Heading5Char"/>
    <w:link w:val="ListParagraph5CtrlAltT"/>
    <w:uiPriority w:val="10"/>
    <w:rsid w:val="00C03D2A"/>
    <w:rPr>
      <w:rFonts w:eastAsiaTheme="majorEastAsia" w:cstheme="majorBidi"/>
      <w:b/>
      <w:kern w:val="2"/>
    </w:rPr>
  </w:style>
  <w:style w:type="paragraph" w:customStyle="1" w:styleId="ListParagraph6CtrlAltY">
    <w:name w:val="List Paragraph 6 (Ctrl+Alt+Y)"/>
    <w:basedOn w:val="Heading6"/>
    <w:link w:val="ListParagraph6CtrlAltYChar"/>
    <w:uiPriority w:val="10"/>
    <w:semiHidden/>
    <w:unhideWhenUsed/>
    <w:qFormat/>
    <w:rsid w:val="00C03D2A"/>
    <w:pPr>
      <w:keepNext w:val="0"/>
    </w:pPr>
    <w:rPr>
      <w:b w:val="0"/>
    </w:rPr>
  </w:style>
  <w:style w:type="character" w:customStyle="1" w:styleId="ListParagraph6CtrlAltYChar">
    <w:name w:val="List Paragraph 6 (Ctrl+Alt+Y) Char"/>
    <w:basedOn w:val="Heading6Char"/>
    <w:link w:val="ListParagraph6CtrlAltY"/>
    <w:uiPriority w:val="10"/>
    <w:semiHidden/>
    <w:rsid w:val="00C03D2A"/>
    <w:rPr>
      <w:rFonts w:eastAsiaTheme="majorEastAsia" w:cstheme="majorBidi"/>
      <w:b/>
      <w:iCs/>
      <w:kern w:val="2"/>
    </w:rPr>
  </w:style>
  <w:style w:type="paragraph" w:customStyle="1" w:styleId="ListParagraph7CtrlAltU">
    <w:name w:val="List Paragraph 7 (Ctrl+Alt+U)"/>
    <w:basedOn w:val="Heading7"/>
    <w:link w:val="ListParagraph7CtrlAltUChar"/>
    <w:uiPriority w:val="10"/>
    <w:semiHidden/>
    <w:unhideWhenUsed/>
    <w:qFormat/>
    <w:rsid w:val="00C03D2A"/>
    <w:pPr>
      <w:keepNext w:val="0"/>
    </w:pPr>
    <w:rPr>
      <w:b w:val="0"/>
    </w:rPr>
  </w:style>
  <w:style w:type="character" w:customStyle="1" w:styleId="ListParagraph7CtrlAltUChar">
    <w:name w:val="List Paragraph 7 (Ctrl+Alt+U) Char"/>
    <w:basedOn w:val="Heading7Char"/>
    <w:link w:val="ListParagraph7CtrlAltU"/>
    <w:uiPriority w:val="10"/>
    <w:semiHidden/>
    <w:rsid w:val="00C03D2A"/>
    <w:rPr>
      <w:rFonts w:eastAsiaTheme="majorEastAsia" w:cstheme="majorBidi"/>
      <w:b/>
      <w:iCs/>
      <w:kern w:val="2"/>
    </w:rPr>
  </w:style>
  <w:style w:type="paragraph" w:customStyle="1" w:styleId="ListParagraph8CtrlAltI">
    <w:name w:val="List Paragraph 8 (Ctrl+Alt+I)"/>
    <w:basedOn w:val="Heading8"/>
    <w:link w:val="ListParagraph8CtrlAltIChar"/>
    <w:uiPriority w:val="10"/>
    <w:semiHidden/>
    <w:unhideWhenUsed/>
    <w:qFormat/>
    <w:rsid w:val="00C03D2A"/>
    <w:pPr>
      <w:keepNext w:val="0"/>
    </w:pPr>
    <w:rPr>
      <w:b w:val="0"/>
    </w:rPr>
  </w:style>
  <w:style w:type="character" w:customStyle="1" w:styleId="ListParagraph8CtrlAltIChar">
    <w:name w:val="List Paragraph 8 (Ctrl+Alt+I) Char"/>
    <w:basedOn w:val="Heading8Char"/>
    <w:link w:val="ListParagraph8CtrlAltI"/>
    <w:uiPriority w:val="10"/>
    <w:semiHidden/>
    <w:rsid w:val="00C03D2A"/>
    <w:rPr>
      <w:rFonts w:eastAsiaTheme="majorEastAsia" w:cstheme="majorBidi"/>
      <w:b/>
      <w:kern w:val="2"/>
      <w:szCs w:val="20"/>
    </w:rPr>
  </w:style>
  <w:style w:type="paragraph" w:customStyle="1" w:styleId="ListParagraph9CtrlAltO">
    <w:name w:val="List Paragraph 9 (Ctrl+Alt+O)"/>
    <w:basedOn w:val="Heading9"/>
    <w:link w:val="ListParagraph9CtrlAltOChar"/>
    <w:uiPriority w:val="10"/>
    <w:semiHidden/>
    <w:unhideWhenUsed/>
    <w:qFormat/>
    <w:rsid w:val="00C03D2A"/>
    <w:pPr>
      <w:keepNext w:val="0"/>
    </w:pPr>
    <w:rPr>
      <w:b w:val="0"/>
    </w:rPr>
  </w:style>
  <w:style w:type="character" w:customStyle="1" w:styleId="ListParagraph9CtrlAltOChar">
    <w:name w:val="List Paragraph 9 (Ctrl+Alt+O) Char"/>
    <w:basedOn w:val="Heading9Char"/>
    <w:link w:val="ListParagraph9CtrlAltO"/>
    <w:uiPriority w:val="10"/>
    <w:semiHidden/>
    <w:rsid w:val="00C03D2A"/>
    <w:rPr>
      <w:rFonts w:eastAsiaTheme="majorEastAsia" w:cstheme="majorBidi"/>
      <w:b/>
      <w:iCs/>
      <w:kern w:val="2"/>
      <w:szCs w:val="20"/>
    </w:rPr>
  </w:style>
  <w:style w:type="character" w:styleId="UnresolvedMention">
    <w:name w:val="Unresolved Mention"/>
    <w:basedOn w:val="DefaultParagraphFont"/>
    <w:uiPriority w:val="99"/>
    <w:semiHidden/>
    <w:unhideWhenUsed/>
    <w:rsid w:val="004F3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rcamp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arl.ca/DocumentViewer/en/45-1/bill/C-30/first-reading" TargetMode="External"/><Relationship Id="rId1" Type="http://schemas.openxmlformats.org/officeDocument/2006/relationships/hyperlink" Target="https://www.parl.ca/DocumentViewer/en/45-1/bill/C-15/royal-as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0B70E-FDC4-4DF3-9AF9-3563B62A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5956</Words>
  <Characters>28473</Characters>
  <Application>Microsoft Office Word</Application>
  <DocSecurity>0</DocSecurity>
  <Lines>605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Iler</dc:creator>
  <cp:keywords/>
  <dc:description/>
  <cp:lastModifiedBy>Hazel Corcoran</cp:lastModifiedBy>
  <cp:revision>5</cp:revision>
  <dcterms:created xsi:type="dcterms:W3CDTF">2026-05-21T00:09:00Z</dcterms:created>
  <dcterms:modified xsi:type="dcterms:W3CDTF">2026-05-21T00:13:00Z</dcterms:modified>
</cp:coreProperties>
</file>